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1E934" w14:textId="528FF7EF" w:rsidR="004A40E7" w:rsidRPr="00092AC9" w:rsidRDefault="00E209B8" w:rsidP="004F6FCF">
      <w:pPr>
        <w:pStyle w:val="Heading1"/>
      </w:pPr>
      <w:r w:rsidRPr="00092AC9">
        <w:t>Yale Center f</w:t>
      </w:r>
      <w:r w:rsidR="004B16EB" w:rsidRPr="00092AC9">
        <w:t>or Genome Analysis</w:t>
      </w:r>
      <w:r w:rsidR="007C144E" w:rsidRPr="00092AC9">
        <w:t>- Resources</w:t>
      </w:r>
    </w:p>
    <w:p w14:paraId="6085DD14" w14:textId="77777777" w:rsidR="0043427C" w:rsidRPr="00092AC9" w:rsidRDefault="0043427C" w:rsidP="00CB2C6A">
      <w:pPr>
        <w:pStyle w:val="NoSpacing"/>
        <w:jc w:val="center"/>
        <w:rPr>
          <w:rFonts w:ascii="Arial" w:hAnsi="Arial" w:cs="Arial"/>
        </w:rPr>
      </w:pPr>
    </w:p>
    <w:p w14:paraId="2E0C78A3" w14:textId="0E9C82AD" w:rsidR="009D6BF3" w:rsidRPr="00092AC9" w:rsidRDefault="009D6BF3" w:rsidP="007E0331">
      <w:pPr>
        <w:pStyle w:val="NoSpacing"/>
        <w:jc w:val="both"/>
        <w:rPr>
          <w:rFonts w:ascii="Arial" w:hAnsi="Arial" w:cs="Arial"/>
        </w:rPr>
      </w:pPr>
      <w:r w:rsidRPr="00092AC9">
        <w:rPr>
          <w:rFonts w:ascii="Arial" w:hAnsi="Arial" w:cs="Arial"/>
        </w:rPr>
        <w:t>The Yale Center for Genome Analysis (YCGA) is a state-of-the-art DNA Sequencing Center launched in 2010 on Yale’s West Campus to provide a centralized facility for services, equipment</w:t>
      </w:r>
      <w:r w:rsidR="00E05B30">
        <w:rPr>
          <w:rFonts w:ascii="Arial" w:hAnsi="Arial" w:cs="Arial"/>
        </w:rPr>
        <w:t>,</w:t>
      </w:r>
      <w:r w:rsidRPr="00092AC9">
        <w:rPr>
          <w:rFonts w:ascii="Arial" w:hAnsi="Arial" w:cs="Arial"/>
        </w:rPr>
        <w:t xml:space="preserve"> and expertise required for large-scale sequence analysis studies. Yale has allocated </w:t>
      </w:r>
      <w:r w:rsidR="00E05B30">
        <w:rPr>
          <w:rFonts w:ascii="Arial" w:hAnsi="Arial" w:cs="Arial"/>
        </w:rPr>
        <w:t xml:space="preserve">the </w:t>
      </w:r>
      <w:r w:rsidRPr="00092AC9">
        <w:rPr>
          <w:rFonts w:ascii="Arial" w:hAnsi="Arial" w:cs="Arial"/>
        </w:rPr>
        <w:t xml:space="preserve">entire building to YCGA with over </w:t>
      </w:r>
      <w:r w:rsidR="004E4F26" w:rsidRPr="00092AC9">
        <w:rPr>
          <w:rFonts w:ascii="Arial" w:hAnsi="Arial" w:cs="Arial"/>
        </w:rPr>
        <w:t>9</w:t>
      </w:r>
      <w:r w:rsidRPr="00092AC9">
        <w:rPr>
          <w:rFonts w:ascii="Arial" w:hAnsi="Arial" w:cs="Arial"/>
        </w:rPr>
        <w:t xml:space="preserve">000 sq. ft. of custom-designed laboratory and office space with all modern amenities. Essential infrastructure such as uninterrupted and emergency power supply critical for </w:t>
      </w:r>
      <w:r w:rsidR="00CB2C6A" w:rsidRPr="00092AC9">
        <w:rPr>
          <w:rFonts w:ascii="Arial" w:hAnsi="Arial" w:cs="Arial"/>
        </w:rPr>
        <w:t>the 24</w:t>
      </w:r>
      <w:r w:rsidRPr="00092AC9">
        <w:rPr>
          <w:rFonts w:ascii="Arial" w:hAnsi="Arial" w:cs="Arial"/>
        </w:rPr>
        <w:t xml:space="preserve">/7 operation of the </w:t>
      </w:r>
      <w:r w:rsidR="00CB2C6A" w:rsidRPr="00092AC9">
        <w:rPr>
          <w:rFonts w:ascii="Arial" w:hAnsi="Arial" w:cs="Arial"/>
        </w:rPr>
        <w:t xml:space="preserve">sequencers, </w:t>
      </w:r>
      <w:r w:rsidR="00E05B30">
        <w:rPr>
          <w:rFonts w:ascii="Arial" w:hAnsi="Arial" w:cs="Arial"/>
        </w:rPr>
        <w:t>high-performance clusters (HPC), data storage file systems, and a high-speed</w:t>
      </w:r>
      <w:r w:rsidRPr="00092AC9">
        <w:rPr>
          <w:rFonts w:ascii="Arial" w:hAnsi="Arial" w:cs="Arial"/>
        </w:rPr>
        <w:t xml:space="preserve"> ethernet connection required for efficient </w:t>
      </w:r>
      <w:r w:rsidR="00E05B30">
        <w:rPr>
          <w:rFonts w:ascii="Arial" w:hAnsi="Arial" w:cs="Arial"/>
        </w:rPr>
        <w:t>data transfer</w:t>
      </w:r>
      <w:r w:rsidRPr="00092AC9">
        <w:rPr>
          <w:rFonts w:ascii="Arial" w:hAnsi="Arial" w:cs="Arial"/>
        </w:rPr>
        <w:t xml:space="preserve"> is already in place for our current sequencing platforms. Since the laboratory temperature is critical for the </w:t>
      </w:r>
      <w:r w:rsidR="00CB2C6A" w:rsidRPr="00092AC9">
        <w:rPr>
          <w:rFonts w:ascii="Arial" w:hAnsi="Arial" w:cs="Arial"/>
        </w:rPr>
        <w:t>optimum performance</w:t>
      </w:r>
      <w:r w:rsidRPr="00092AC9">
        <w:rPr>
          <w:rFonts w:ascii="Arial" w:hAnsi="Arial" w:cs="Arial"/>
        </w:rPr>
        <w:t xml:space="preserve"> of Illumina Genome Analyzers, Yale West Campus central facility staff constantly monitors and </w:t>
      </w:r>
      <w:r w:rsidR="00CB2C6A" w:rsidRPr="00092AC9">
        <w:rPr>
          <w:rFonts w:ascii="Arial" w:hAnsi="Arial" w:cs="Arial"/>
        </w:rPr>
        <w:t>maintains a</w:t>
      </w:r>
      <w:r w:rsidRPr="00092AC9">
        <w:rPr>
          <w:rFonts w:ascii="Arial" w:hAnsi="Arial" w:cs="Arial"/>
        </w:rPr>
        <w:t xml:space="preserve"> temperature close to 21 </w:t>
      </w:r>
      <w:r w:rsidRPr="00092AC9">
        <w:rPr>
          <w:rFonts w:ascii="Arial" w:hAnsi="Arial" w:cs="Arial"/>
          <w:vertAlign w:val="superscript"/>
        </w:rPr>
        <w:t xml:space="preserve">0 </w:t>
      </w:r>
      <w:r w:rsidRPr="00092AC9">
        <w:rPr>
          <w:rFonts w:ascii="Arial" w:hAnsi="Arial" w:cs="Arial"/>
        </w:rPr>
        <w:t xml:space="preserve">C.  The YCGA is very well supported by </w:t>
      </w:r>
      <w:r w:rsidR="00DA1DCA" w:rsidRPr="00092AC9">
        <w:rPr>
          <w:rFonts w:ascii="Arial" w:hAnsi="Arial" w:cs="Arial"/>
        </w:rPr>
        <w:t>Yale Information Technology Services (ITS)</w:t>
      </w:r>
      <w:r w:rsidRPr="00092AC9">
        <w:rPr>
          <w:rFonts w:ascii="Arial" w:hAnsi="Arial" w:cs="Arial"/>
        </w:rPr>
        <w:t>.</w:t>
      </w:r>
      <w:r w:rsidR="00FC61B5" w:rsidRPr="00092AC9">
        <w:rPr>
          <w:rFonts w:ascii="Arial" w:hAnsi="Arial" w:cs="Arial"/>
        </w:rPr>
        <w:t xml:space="preserve"> Approximately </w:t>
      </w:r>
      <w:r w:rsidR="004E4F26" w:rsidRPr="00092AC9">
        <w:rPr>
          <w:rFonts w:ascii="Arial" w:hAnsi="Arial" w:cs="Arial"/>
        </w:rPr>
        <w:t>7</w:t>
      </w:r>
      <w:r w:rsidRPr="00092AC9">
        <w:rPr>
          <w:rFonts w:ascii="Arial" w:hAnsi="Arial" w:cs="Arial"/>
        </w:rPr>
        <w:t xml:space="preserve">000 sq. ft. of </w:t>
      </w:r>
      <w:r w:rsidR="00E05B30">
        <w:rPr>
          <w:rFonts w:ascii="Arial" w:hAnsi="Arial" w:cs="Arial"/>
        </w:rPr>
        <w:t xml:space="preserve">the area is occupied by the laboratory that houses both sequencing and other associated instrumentation, a walk-in 40C cold room, and a dedicated area for library preparation with additional unoccupied space that will be used for </w:t>
      </w:r>
      <w:r w:rsidRPr="00092AC9">
        <w:rPr>
          <w:rFonts w:ascii="Arial" w:hAnsi="Arial" w:cs="Arial"/>
        </w:rPr>
        <w:t xml:space="preserve">future expansion. The office and </w:t>
      </w:r>
      <w:r w:rsidR="007A4BF5">
        <w:rPr>
          <w:rFonts w:ascii="Arial" w:hAnsi="Arial" w:cs="Arial"/>
        </w:rPr>
        <w:t>the administrative regions</w:t>
      </w:r>
      <w:r w:rsidRPr="00092AC9">
        <w:rPr>
          <w:rFonts w:ascii="Arial" w:hAnsi="Arial" w:cs="Arial"/>
        </w:rPr>
        <w:t xml:space="preserve"> occupy approximately 2</w:t>
      </w:r>
      <w:r w:rsidR="00CC00FB" w:rsidRPr="00092AC9">
        <w:rPr>
          <w:rFonts w:ascii="Arial" w:hAnsi="Arial" w:cs="Arial"/>
        </w:rPr>
        <w:t>,</w:t>
      </w:r>
      <w:r w:rsidRPr="00092AC9">
        <w:rPr>
          <w:rFonts w:ascii="Arial" w:hAnsi="Arial" w:cs="Arial"/>
        </w:rPr>
        <w:t xml:space="preserve">500 sq. ft. </w:t>
      </w:r>
      <w:r w:rsidR="00E05B30">
        <w:rPr>
          <w:rFonts w:ascii="Arial" w:hAnsi="Arial" w:cs="Arial"/>
        </w:rPr>
        <w:t xml:space="preserve">of </w:t>
      </w:r>
      <w:r w:rsidRPr="00092AC9">
        <w:rPr>
          <w:rFonts w:ascii="Arial" w:hAnsi="Arial" w:cs="Arial"/>
        </w:rPr>
        <w:t xml:space="preserve">space. </w:t>
      </w:r>
      <w:r w:rsidR="007A4BF5">
        <w:rPr>
          <w:rFonts w:ascii="Arial" w:hAnsi="Arial" w:cs="Arial"/>
        </w:rPr>
        <w:t xml:space="preserve">A glass wall completely separates the laboratory </w:t>
      </w:r>
      <w:r w:rsidR="00E17FC7">
        <w:rPr>
          <w:rFonts w:ascii="Arial" w:hAnsi="Arial" w:cs="Arial"/>
        </w:rPr>
        <w:t>and office spaces</w:t>
      </w:r>
      <w:r w:rsidR="007A4BF5">
        <w:rPr>
          <w:rFonts w:ascii="Arial" w:hAnsi="Arial" w:cs="Arial"/>
        </w:rPr>
        <w:t xml:space="preserve"> for safety reasons</w:t>
      </w:r>
      <w:r w:rsidRPr="00092AC9">
        <w:rPr>
          <w:rFonts w:ascii="Arial" w:hAnsi="Arial" w:cs="Arial"/>
        </w:rPr>
        <w:t xml:space="preserve">. </w:t>
      </w:r>
      <w:r w:rsidR="00E05B30">
        <w:rPr>
          <w:rFonts w:ascii="Arial" w:hAnsi="Arial" w:cs="Arial"/>
        </w:rPr>
        <w:t>The laboratory</w:t>
      </w:r>
      <w:r w:rsidRPr="00092AC9">
        <w:rPr>
          <w:rFonts w:ascii="Arial" w:hAnsi="Arial" w:cs="Arial"/>
        </w:rPr>
        <w:t xml:space="preserve"> can be accessed from the office area through two glass doors situated at each end of the laboratory.  YCGA has 12 offices that </w:t>
      </w:r>
      <w:r w:rsidR="00E05B30">
        <w:rPr>
          <w:rFonts w:ascii="Arial" w:hAnsi="Arial" w:cs="Arial"/>
        </w:rPr>
        <w:t>Ph.D.-level and senior staff mostly use</w:t>
      </w:r>
      <w:r w:rsidRPr="00092AC9">
        <w:rPr>
          <w:rFonts w:ascii="Arial" w:hAnsi="Arial" w:cs="Arial"/>
        </w:rPr>
        <w:t xml:space="preserve">.  The administrative area is used </w:t>
      </w:r>
      <w:r w:rsidR="007A4BF5">
        <w:rPr>
          <w:rFonts w:ascii="Arial" w:hAnsi="Arial" w:cs="Arial"/>
        </w:rPr>
        <w:t>mainly</w:t>
      </w:r>
      <w:r w:rsidRPr="00092AC9">
        <w:rPr>
          <w:rFonts w:ascii="Arial" w:hAnsi="Arial" w:cs="Arial"/>
        </w:rPr>
        <w:t xml:space="preserve"> by the laboratory technicians to carry out computer work and to hold LIMS and other </w:t>
      </w:r>
      <w:r w:rsidR="00CB2C6A" w:rsidRPr="00092AC9">
        <w:rPr>
          <w:rFonts w:ascii="Arial" w:hAnsi="Arial" w:cs="Arial"/>
        </w:rPr>
        <w:t>high-end</w:t>
      </w:r>
      <w:r w:rsidRPr="00092AC9">
        <w:rPr>
          <w:rFonts w:ascii="Arial" w:hAnsi="Arial" w:cs="Arial"/>
        </w:rPr>
        <w:t xml:space="preserve"> computers used for high throughput analysis. One conference room that has a projector provides venues for interaction.</w:t>
      </w:r>
    </w:p>
    <w:p w14:paraId="2F7CCBB9" w14:textId="77777777" w:rsidR="009260A5" w:rsidRPr="00092AC9" w:rsidRDefault="009260A5" w:rsidP="009260A5">
      <w:pPr>
        <w:pStyle w:val="NoSpacing"/>
        <w:rPr>
          <w:rFonts w:ascii="Arial" w:hAnsi="Arial" w:cs="Arial"/>
        </w:rPr>
      </w:pPr>
    </w:p>
    <w:p w14:paraId="61A04F1F" w14:textId="77777777" w:rsidR="00FF3C9D" w:rsidRPr="00092AC9" w:rsidRDefault="009D6BF3" w:rsidP="009260A5">
      <w:pPr>
        <w:pStyle w:val="NoSpacing"/>
        <w:rPr>
          <w:rFonts w:ascii="Arial" w:hAnsi="Arial" w:cs="Arial"/>
        </w:rPr>
      </w:pPr>
      <w:r w:rsidRPr="00092AC9">
        <w:rPr>
          <w:rFonts w:ascii="Arial" w:hAnsi="Arial" w:cs="Arial"/>
        </w:rPr>
        <w:t xml:space="preserve">The list of the major sequencing </w:t>
      </w:r>
      <w:r w:rsidR="0041660C" w:rsidRPr="00092AC9">
        <w:rPr>
          <w:rFonts w:ascii="Arial" w:hAnsi="Arial" w:cs="Arial"/>
        </w:rPr>
        <w:t xml:space="preserve">and microarray </w:t>
      </w:r>
      <w:r w:rsidRPr="00092AC9">
        <w:rPr>
          <w:rFonts w:ascii="Arial" w:hAnsi="Arial" w:cs="Arial"/>
        </w:rPr>
        <w:t>instruments available at YCGA is as follows:</w:t>
      </w:r>
    </w:p>
    <w:p w14:paraId="5E084D13" w14:textId="65403193" w:rsidR="00691883" w:rsidRPr="00092AC9" w:rsidRDefault="00691883" w:rsidP="009260A5">
      <w:pPr>
        <w:pStyle w:val="NoSpacing"/>
        <w:numPr>
          <w:ilvl w:val="0"/>
          <w:numId w:val="2"/>
        </w:numPr>
        <w:rPr>
          <w:rFonts w:ascii="Arial" w:hAnsi="Arial" w:cs="Arial"/>
        </w:rPr>
      </w:pPr>
      <w:r w:rsidRPr="00092AC9">
        <w:rPr>
          <w:rFonts w:ascii="Arial" w:hAnsi="Arial" w:cs="Arial"/>
        </w:rPr>
        <w:t>Two Illumina NovaSeq</w:t>
      </w:r>
      <w:r w:rsidR="00B30AE4" w:rsidRPr="00092AC9">
        <w:rPr>
          <w:rFonts w:ascii="Arial" w:hAnsi="Arial" w:cs="Arial"/>
        </w:rPr>
        <w:t>6000</w:t>
      </w:r>
      <w:r w:rsidRPr="00092AC9">
        <w:rPr>
          <w:rFonts w:ascii="Arial" w:hAnsi="Arial" w:cs="Arial"/>
        </w:rPr>
        <w:t xml:space="preserve"> sequencing systems</w:t>
      </w:r>
    </w:p>
    <w:p w14:paraId="7F81B28E" w14:textId="51A2F34D" w:rsidR="00CC00FB" w:rsidRDefault="004E4F26" w:rsidP="009260A5">
      <w:pPr>
        <w:pStyle w:val="NoSpacing"/>
        <w:numPr>
          <w:ilvl w:val="0"/>
          <w:numId w:val="2"/>
        </w:numPr>
        <w:rPr>
          <w:rFonts w:ascii="Arial" w:hAnsi="Arial" w:cs="Arial"/>
        </w:rPr>
      </w:pPr>
      <w:r w:rsidRPr="00092AC9">
        <w:rPr>
          <w:rFonts w:ascii="Arial" w:hAnsi="Arial" w:cs="Arial"/>
        </w:rPr>
        <w:t>One</w:t>
      </w:r>
      <w:r w:rsidR="00691883" w:rsidRPr="00092AC9">
        <w:rPr>
          <w:rFonts w:ascii="Arial" w:hAnsi="Arial" w:cs="Arial"/>
        </w:rPr>
        <w:t xml:space="preserve"> </w:t>
      </w:r>
      <w:r w:rsidR="00DA1DCA" w:rsidRPr="00092AC9">
        <w:rPr>
          <w:rFonts w:ascii="Arial" w:hAnsi="Arial" w:cs="Arial"/>
        </w:rPr>
        <w:t xml:space="preserve">Illumina </w:t>
      </w:r>
      <w:proofErr w:type="spellStart"/>
      <w:r w:rsidR="00E05B30">
        <w:rPr>
          <w:rFonts w:ascii="Arial" w:hAnsi="Arial" w:cs="Arial"/>
        </w:rPr>
        <w:t>NovaSeq</w:t>
      </w:r>
      <w:proofErr w:type="spellEnd"/>
      <w:r w:rsidR="00E05B30">
        <w:rPr>
          <w:rFonts w:ascii="Arial" w:hAnsi="Arial" w:cs="Arial"/>
        </w:rPr>
        <w:t xml:space="preserve"> X plus</w:t>
      </w:r>
      <w:r w:rsidR="00DA1DCA" w:rsidRPr="00092AC9">
        <w:rPr>
          <w:rFonts w:ascii="Arial" w:hAnsi="Arial" w:cs="Arial"/>
        </w:rPr>
        <w:t xml:space="preserve"> sequencing system</w:t>
      </w:r>
    </w:p>
    <w:p w14:paraId="79ABDF50" w14:textId="7F30A6A6" w:rsidR="00E05B30" w:rsidRDefault="00E05B30" w:rsidP="00E05B30">
      <w:pPr>
        <w:pStyle w:val="NoSpacing"/>
        <w:numPr>
          <w:ilvl w:val="0"/>
          <w:numId w:val="2"/>
        </w:numPr>
        <w:rPr>
          <w:rFonts w:ascii="Arial" w:hAnsi="Arial" w:cs="Arial"/>
        </w:rPr>
      </w:pPr>
      <w:r w:rsidRPr="00092AC9">
        <w:rPr>
          <w:rFonts w:ascii="Arial" w:hAnsi="Arial" w:cs="Arial"/>
        </w:rPr>
        <w:t xml:space="preserve">One Illumina </w:t>
      </w:r>
      <w:r>
        <w:rPr>
          <w:rFonts w:ascii="Arial" w:hAnsi="Arial" w:cs="Arial"/>
        </w:rPr>
        <w:t xml:space="preserve">NeXTs 2000 </w:t>
      </w:r>
      <w:r w:rsidRPr="00092AC9">
        <w:rPr>
          <w:rFonts w:ascii="Arial" w:hAnsi="Arial" w:cs="Arial"/>
        </w:rPr>
        <w:t>sequencing system</w:t>
      </w:r>
    </w:p>
    <w:p w14:paraId="70403118" w14:textId="1EC1818F" w:rsidR="00E05B30" w:rsidRPr="00092AC9" w:rsidRDefault="00E05B30" w:rsidP="009260A5">
      <w:pPr>
        <w:pStyle w:val="NoSpacing"/>
        <w:numPr>
          <w:ilvl w:val="0"/>
          <w:numId w:val="2"/>
        </w:numPr>
        <w:rPr>
          <w:rFonts w:ascii="Arial" w:hAnsi="Arial" w:cs="Arial"/>
        </w:rPr>
      </w:pPr>
      <w:r>
        <w:rPr>
          <w:rFonts w:ascii="Arial" w:hAnsi="Arial" w:cs="Arial"/>
        </w:rPr>
        <w:t xml:space="preserve">One Element AVITI sequencing </w:t>
      </w:r>
      <w:proofErr w:type="gramStart"/>
      <w:r>
        <w:rPr>
          <w:rFonts w:ascii="Arial" w:hAnsi="Arial" w:cs="Arial"/>
        </w:rPr>
        <w:t>system</w:t>
      </w:r>
      <w:proofErr w:type="gramEnd"/>
    </w:p>
    <w:p w14:paraId="3A394F2E" w14:textId="3ECB4267" w:rsidR="00CC00FB" w:rsidRPr="00E05B30" w:rsidRDefault="00CC00FB" w:rsidP="009260A5">
      <w:pPr>
        <w:pStyle w:val="NoSpacing"/>
        <w:numPr>
          <w:ilvl w:val="0"/>
          <w:numId w:val="2"/>
        </w:numPr>
        <w:rPr>
          <w:rFonts w:ascii="Arial" w:hAnsi="Arial" w:cs="Arial"/>
          <w:lang w:val="da-DK"/>
        </w:rPr>
      </w:pPr>
      <w:r w:rsidRPr="00092AC9">
        <w:rPr>
          <w:rFonts w:ascii="Arial" w:hAnsi="Arial" w:cs="Arial"/>
        </w:rPr>
        <w:t xml:space="preserve">One Pacific Bioscience </w:t>
      </w:r>
      <w:r w:rsidR="00A76D14" w:rsidRPr="00092AC9">
        <w:rPr>
          <w:rFonts w:ascii="Arial" w:hAnsi="Arial" w:cs="Arial"/>
        </w:rPr>
        <w:t xml:space="preserve">Sequel II </w:t>
      </w:r>
      <w:r w:rsidRPr="00092AC9">
        <w:rPr>
          <w:rFonts w:ascii="Arial" w:hAnsi="Arial" w:cs="Arial"/>
        </w:rPr>
        <w:t>sequencing system</w:t>
      </w:r>
    </w:p>
    <w:p w14:paraId="4B298F86" w14:textId="3DEF43DC" w:rsidR="00E05B30" w:rsidRPr="00E05B30" w:rsidRDefault="00E05B30" w:rsidP="00E05B30">
      <w:pPr>
        <w:pStyle w:val="NoSpacing"/>
        <w:numPr>
          <w:ilvl w:val="0"/>
          <w:numId w:val="2"/>
        </w:numPr>
        <w:rPr>
          <w:rFonts w:ascii="Arial" w:hAnsi="Arial" w:cs="Arial"/>
          <w:lang w:val="da-DK"/>
        </w:rPr>
      </w:pPr>
      <w:r w:rsidRPr="00092AC9">
        <w:rPr>
          <w:rFonts w:ascii="Arial" w:hAnsi="Arial" w:cs="Arial"/>
        </w:rPr>
        <w:t xml:space="preserve">One Pacific Bioscience </w:t>
      </w:r>
      <w:proofErr w:type="spellStart"/>
      <w:r>
        <w:rPr>
          <w:rFonts w:ascii="Arial" w:hAnsi="Arial" w:cs="Arial"/>
        </w:rPr>
        <w:t>Ravio</w:t>
      </w:r>
      <w:proofErr w:type="spellEnd"/>
      <w:r w:rsidRPr="00092AC9">
        <w:rPr>
          <w:rFonts w:ascii="Arial" w:hAnsi="Arial" w:cs="Arial"/>
        </w:rPr>
        <w:t xml:space="preserve"> sequencing </w:t>
      </w:r>
      <w:proofErr w:type="gramStart"/>
      <w:r w:rsidRPr="00092AC9">
        <w:rPr>
          <w:rFonts w:ascii="Arial" w:hAnsi="Arial" w:cs="Arial"/>
        </w:rPr>
        <w:t>system</w:t>
      </w:r>
      <w:proofErr w:type="gramEnd"/>
    </w:p>
    <w:p w14:paraId="439F68A2" w14:textId="77777777" w:rsidR="00CC00FB" w:rsidRPr="00092AC9" w:rsidRDefault="00CC00FB" w:rsidP="009260A5">
      <w:pPr>
        <w:pStyle w:val="NoSpacing"/>
        <w:numPr>
          <w:ilvl w:val="0"/>
          <w:numId w:val="2"/>
        </w:numPr>
        <w:rPr>
          <w:rFonts w:ascii="Arial" w:hAnsi="Arial" w:cs="Arial"/>
        </w:rPr>
      </w:pPr>
      <w:r w:rsidRPr="00092AC9">
        <w:rPr>
          <w:rFonts w:ascii="Arial" w:hAnsi="Arial" w:cs="Arial"/>
        </w:rPr>
        <w:t xml:space="preserve">One Illumina </w:t>
      </w:r>
      <w:proofErr w:type="spellStart"/>
      <w:r w:rsidR="0035386B" w:rsidRPr="00092AC9">
        <w:rPr>
          <w:rFonts w:ascii="Arial" w:hAnsi="Arial" w:cs="Arial"/>
        </w:rPr>
        <w:t>MiSeq</w:t>
      </w:r>
      <w:proofErr w:type="spellEnd"/>
    </w:p>
    <w:p w14:paraId="557DEF49" w14:textId="77777777" w:rsidR="00A418D2" w:rsidRPr="00092AC9" w:rsidRDefault="00CC00FB" w:rsidP="00FC61B5">
      <w:pPr>
        <w:pStyle w:val="NoSpacing"/>
        <w:numPr>
          <w:ilvl w:val="0"/>
          <w:numId w:val="2"/>
        </w:numPr>
        <w:rPr>
          <w:rFonts w:ascii="Arial" w:hAnsi="Arial" w:cs="Arial"/>
        </w:rPr>
      </w:pPr>
      <w:r w:rsidRPr="00092AC9">
        <w:rPr>
          <w:rFonts w:ascii="Arial" w:hAnsi="Arial" w:cs="Arial"/>
        </w:rPr>
        <w:t>One Ion torrent PGM system</w:t>
      </w:r>
    </w:p>
    <w:p w14:paraId="5B519497" w14:textId="7DD2160D" w:rsidR="00AF3E33" w:rsidRPr="00092AC9" w:rsidRDefault="007C3CD2" w:rsidP="009260A5">
      <w:pPr>
        <w:pStyle w:val="NoSpacing"/>
        <w:numPr>
          <w:ilvl w:val="0"/>
          <w:numId w:val="2"/>
        </w:numPr>
        <w:rPr>
          <w:rFonts w:ascii="Arial" w:hAnsi="Arial" w:cs="Arial"/>
        </w:rPr>
      </w:pPr>
      <w:r w:rsidRPr="00092AC9">
        <w:rPr>
          <w:rFonts w:ascii="Arial" w:hAnsi="Arial" w:cs="Arial"/>
        </w:rPr>
        <w:t>Three</w:t>
      </w:r>
      <w:r w:rsidR="00A76D14" w:rsidRPr="00092AC9">
        <w:rPr>
          <w:rFonts w:ascii="Arial" w:hAnsi="Arial" w:cs="Arial"/>
        </w:rPr>
        <w:t xml:space="preserve"> </w:t>
      </w:r>
      <w:r w:rsidR="00AF3E33" w:rsidRPr="00092AC9">
        <w:rPr>
          <w:rFonts w:ascii="Arial" w:hAnsi="Arial" w:cs="Arial"/>
        </w:rPr>
        <w:t xml:space="preserve">10 x genomics </w:t>
      </w:r>
      <w:r w:rsidR="00FC61B5" w:rsidRPr="00092AC9">
        <w:rPr>
          <w:rFonts w:ascii="Arial" w:hAnsi="Arial" w:cs="Arial"/>
        </w:rPr>
        <w:t xml:space="preserve">Single Cell Genomics </w:t>
      </w:r>
      <w:r w:rsidR="004E4F26" w:rsidRPr="00092AC9">
        <w:rPr>
          <w:rFonts w:ascii="Arial" w:hAnsi="Arial" w:cs="Arial"/>
        </w:rPr>
        <w:t>System</w:t>
      </w:r>
    </w:p>
    <w:p w14:paraId="207D1E90" w14:textId="322E95CD" w:rsidR="004E4F26" w:rsidRPr="00092AC9" w:rsidRDefault="007C3CD2" w:rsidP="009260A5">
      <w:pPr>
        <w:pStyle w:val="NoSpacing"/>
        <w:numPr>
          <w:ilvl w:val="0"/>
          <w:numId w:val="2"/>
        </w:numPr>
        <w:rPr>
          <w:rFonts w:ascii="Arial" w:hAnsi="Arial" w:cs="Arial"/>
        </w:rPr>
      </w:pPr>
      <w:r w:rsidRPr="00092AC9">
        <w:rPr>
          <w:rFonts w:ascii="Arial" w:hAnsi="Arial" w:cs="Arial"/>
        </w:rPr>
        <w:t xml:space="preserve">One </w:t>
      </w:r>
      <w:r w:rsidR="004E4F26" w:rsidRPr="00092AC9">
        <w:rPr>
          <w:rFonts w:ascii="Arial" w:hAnsi="Arial" w:cs="Arial"/>
        </w:rPr>
        <w:t xml:space="preserve">Mission Bio </w:t>
      </w:r>
      <w:r w:rsidR="007A4BF5">
        <w:rPr>
          <w:rFonts w:ascii="Arial" w:hAnsi="Arial" w:cs="Arial"/>
        </w:rPr>
        <w:t>single-cell</w:t>
      </w:r>
      <w:r w:rsidR="004E4F26" w:rsidRPr="00092AC9">
        <w:rPr>
          <w:rFonts w:ascii="Arial" w:hAnsi="Arial" w:cs="Arial"/>
        </w:rPr>
        <w:t xml:space="preserve"> genomics platform</w:t>
      </w:r>
    </w:p>
    <w:p w14:paraId="492EA291" w14:textId="0B88B3F2" w:rsidR="004E4F26" w:rsidRDefault="004E4F26" w:rsidP="009260A5">
      <w:pPr>
        <w:pStyle w:val="NoSpacing"/>
        <w:numPr>
          <w:ilvl w:val="0"/>
          <w:numId w:val="2"/>
        </w:numPr>
        <w:rPr>
          <w:rFonts w:ascii="Arial" w:hAnsi="Arial" w:cs="Arial"/>
        </w:rPr>
      </w:pPr>
      <w:r w:rsidRPr="00092AC9">
        <w:rPr>
          <w:rFonts w:ascii="Arial" w:hAnsi="Arial" w:cs="Arial"/>
        </w:rPr>
        <w:t xml:space="preserve">MERFISH spatial </w:t>
      </w:r>
      <w:proofErr w:type="spellStart"/>
      <w:r w:rsidRPr="00092AC9">
        <w:rPr>
          <w:rFonts w:ascii="Arial" w:hAnsi="Arial" w:cs="Arial"/>
        </w:rPr>
        <w:t>multiomics</w:t>
      </w:r>
      <w:proofErr w:type="spellEnd"/>
      <w:r w:rsidRPr="00092AC9">
        <w:rPr>
          <w:rFonts w:ascii="Arial" w:hAnsi="Arial" w:cs="Arial"/>
        </w:rPr>
        <w:t xml:space="preserve"> system</w:t>
      </w:r>
    </w:p>
    <w:p w14:paraId="07AF2EF8" w14:textId="63E85B5E" w:rsidR="00E05B30" w:rsidRDefault="00E05B30" w:rsidP="009260A5">
      <w:pPr>
        <w:pStyle w:val="NoSpacing"/>
        <w:numPr>
          <w:ilvl w:val="0"/>
          <w:numId w:val="2"/>
        </w:numPr>
        <w:rPr>
          <w:rFonts w:ascii="Arial" w:hAnsi="Arial" w:cs="Arial"/>
        </w:rPr>
      </w:pPr>
      <w:r>
        <w:rPr>
          <w:rFonts w:ascii="Arial" w:hAnsi="Arial" w:cs="Arial"/>
        </w:rPr>
        <w:t xml:space="preserve">10X Xenium Spatial </w:t>
      </w:r>
      <w:r w:rsidR="007A4BF5">
        <w:rPr>
          <w:rFonts w:ascii="Arial" w:hAnsi="Arial" w:cs="Arial"/>
        </w:rPr>
        <w:t>Transcriptomics</w:t>
      </w:r>
      <w:r>
        <w:rPr>
          <w:rFonts w:ascii="Arial" w:hAnsi="Arial" w:cs="Arial"/>
        </w:rPr>
        <w:t xml:space="preserve"> System </w:t>
      </w:r>
    </w:p>
    <w:p w14:paraId="10934BD4" w14:textId="56811128" w:rsidR="00E05B30" w:rsidRDefault="00E05B30" w:rsidP="009260A5">
      <w:pPr>
        <w:pStyle w:val="NoSpacing"/>
        <w:numPr>
          <w:ilvl w:val="0"/>
          <w:numId w:val="2"/>
        </w:numPr>
        <w:rPr>
          <w:rFonts w:ascii="Arial" w:hAnsi="Arial" w:cs="Arial"/>
        </w:rPr>
      </w:pPr>
      <w:proofErr w:type="spellStart"/>
      <w:r>
        <w:rPr>
          <w:rFonts w:ascii="Arial" w:hAnsi="Arial" w:cs="Arial"/>
        </w:rPr>
        <w:t>Nanostring</w:t>
      </w:r>
      <w:proofErr w:type="spellEnd"/>
      <w:r>
        <w:rPr>
          <w:rFonts w:ascii="Arial" w:hAnsi="Arial" w:cs="Arial"/>
        </w:rPr>
        <w:t xml:space="preserve"> </w:t>
      </w:r>
      <w:proofErr w:type="spellStart"/>
      <w:r>
        <w:rPr>
          <w:rFonts w:ascii="Arial" w:hAnsi="Arial" w:cs="Arial"/>
        </w:rPr>
        <w:t>CosMx</w:t>
      </w:r>
      <w:proofErr w:type="spellEnd"/>
      <w:r>
        <w:rPr>
          <w:rFonts w:ascii="Arial" w:hAnsi="Arial" w:cs="Arial"/>
        </w:rPr>
        <w:t xml:space="preserve"> </w:t>
      </w:r>
      <w:r>
        <w:rPr>
          <w:rFonts w:ascii="Arial" w:hAnsi="Arial" w:cs="Arial"/>
        </w:rPr>
        <w:t xml:space="preserve">Spatial </w:t>
      </w:r>
      <w:r w:rsidR="007A4BF5">
        <w:rPr>
          <w:rFonts w:ascii="Arial" w:hAnsi="Arial" w:cs="Arial"/>
        </w:rPr>
        <w:t>Transcriptomics</w:t>
      </w:r>
      <w:r>
        <w:rPr>
          <w:rFonts w:ascii="Arial" w:hAnsi="Arial" w:cs="Arial"/>
        </w:rPr>
        <w:t xml:space="preserve"> System</w:t>
      </w:r>
    </w:p>
    <w:p w14:paraId="5DC69B52" w14:textId="24AA2F58" w:rsidR="00E05B30" w:rsidRDefault="00E05B30" w:rsidP="009260A5">
      <w:pPr>
        <w:pStyle w:val="NoSpacing"/>
        <w:numPr>
          <w:ilvl w:val="0"/>
          <w:numId w:val="2"/>
        </w:numPr>
        <w:rPr>
          <w:rFonts w:ascii="Arial" w:hAnsi="Arial" w:cs="Arial"/>
        </w:rPr>
      </w:pPr>
      <w:proofErr w:type="spellStart"/>
      <w:r>
        <w:rPr>
          <w:rFonts w:ascii="Arial" w:hAnsi="Arial" w:cs="Arial"/>
        </w:rPr>
        <w:t>CurioSeeker</w:t>
      </w:r>
      <w:proofErr w:type="spellEnd"/>
      <w:r>
        <w:rPr>
          <w:rFonts w:ascii="Arial" w:hAnsi="Arial" w:cs="Arial"/>
        </w:rPr>
        <w:t xml:space="preserve"> technology for </w:t>
      </w:r>
      <w:r>
        <w:rPr>
          <w:rFonts w:ascii="Arial" w:hAnsi="Arial" w:cs="Arial"/>
        </w:rPr>
        <w:t>Spatial transcriptomics</w:t>
      </w:r>
    </w:p>
    <w:p w14:paraId="1F9DBF01" w14:textId="4252C515" w:rsidR="00E05B30" w:rsidRPr="00092AC9" w:rsidRDefault="00E05B30" w:rsidP="009260A5">
      <w:pPr>
        <w:pStyle w:val="NoSpacing"/>
        <w:numPr>
          <w:ilvl w:val="0"/>
          <w:numId w:val="2"/>
        </w:numPr>
        <w:rPr>
          <w:rFonts w:ascii="Arial" w:hAnsi="Arial" w:cs="Arial"/>
        </w:rPr>
      </w:pPr>
      <w:proofErr w:type="spellStart"/>
      <w:r>
        <w:rPr>
          <w:rFonts w:ascii="Arial" w:hAnsi="Arial" w:cs="Arial"/>
        </w:rPr>
        <w:t>Altasxomics</w:t>
      </w:r>
      <w:proofErr w:type="spellEnd"/>
      <w:r>
        <w:rPr>
          <w:rFonts w:ascii="Arial" w:hAnsi="Arial" w:cs="Arial"/>
        </w:rPr>
        <w:t xml:space="preserve"> technology for spatial ATAC-Seq </w:t>
      </w:r>
    </w:p>
    <w:p w14:paraId="63BE5339" w14:textId="22E3A84C" w:rsidR="00FF3C9D" w:rsidRPr="00092AC9" w:rsidRDefault="001F2C17" w:rsidP="009260A5">
      <w:pPr>
        <w:pStyle w:val="NoSpacing"/>
        <w:numPr>
          <w:ilvl w:val="0"/>
          <w:numId w:val="2"/>
        </w:numPr>
        <w:rPr>
          <w:rFonts w:ascii="Arial" w:hAnsi="Arial" w:cs="Arial"/>
        </w:rPr>
      </w:pPr>
      <w:r w:rsidRPr="00092AC9">
        <w:rPr>
          <w:rFonts w:ascii="Arial" w:hAnsi="Arial" w:cs="Arial"/>
        </w:rPr>
        <w:t>Lenovo</w:t>
      </w:r>
      <w:r w:rsidR="00FF3C9D" w:rsidRPr="00092AC9">
        <w:rPr>
          <w:rFonts w:ascii="Arial" w:hAnsi="Arial" w:cs="Arial"/>
        </w:rPr>
        <w:t xml:space="preserve"> Performance Cluster</w:t>
      </w:r>
      <w:r w:rsidR="007A4BF5">
        <w:rPr>
          <w:rFonts w:ascii="Arial" w:hAnsi="Arial" w:cs="Arial"/>
        </w:rPr>
        <w:t>,</w:t>
      </w:r>
      <w:r w:rsidR="00FF3C9D" w:rsidRPr="00092AC9">
        <w:rPr>
          <w:rFonts w:ascii="Arial" w:hAnsi="Arial" w:cs="Arial"/>
        </w:rPr>
        <w:t xml:space="preserve"> with a total of </w:t>
      </w:r>
      <w:r w:rsidR="009260A5" w:rsidRPr="00092AC9">
        <w:rPr>
          <w:rFonts w:ascii="Arial" w:hAnsi="Arial" w:cs="Arial"/>
        </w:rPr>
        <w:t>4</w:t>
      </w:r>
      <w:r w:rsidR="00FC61B5" w:rsidRPr="00092AC9">
        <w:rPr>
          <w:rFonts w:ascii="Arial" w:hAnsi="Arial" w:cs="Arial"/>
        </w:rPr>
        <w:t>,</w:t>
      </w:r>
      <w:r w:rsidR="00DA1DCA" w:rsidRPr="00092AC9">
        <w:rPr>
          <w:rFonts w:ascii="Arial" w:hAnsi="Arial" w:cs="Arial"/>
        </w:rPr>
        <w:t>624</w:t>
      </w:r>
      <w:r w:rsidR="00FF3C9D" w:rsidRPr="00092AC9">
        <w:rPr>
          <w:rFonts w:ascii="Arial" w:hAnsi="Arial" w:cs="Arial"/>
        </w:rPr>
        <w:t xml:space="preserve"> cores/CPUs</w:t>
      </w:r>
    </w:p>
    <w:p w14:paraId="178BA0E7" w14:textId="70DA8213" w:rsidR="00FF3C9D" w:rsidRPr="00092AC9" w:rsidRDefault="00FC61B5" w:rsidP="009260A5">
      <w:pPr>
        <w:pStyle w:val="NoSpacing"/>
        <w:numPr>
          <w:ilvl w:val="0"/>
          <w:numId w:val="2"/>
        </w:numPr>
        <w:rPr>
          <w:rFonts w:ascii="Arial" w:hAnsi="Arial" w:cs="Arial"/>
        </w:rPr>
      </w:pPr>
      <w:r w:rsidRPr="00092AC9">
        <w:rPr>
          <w:rFonts w:ascii="Arial" w:hAnsi="Arial" w:cs="Arial"/>
        </w:rPr>
        <w:t>4</w:t>
      </w:r>
      <w:r w:rsidR="004E4F26" w:rsidRPr="00092AC9">
        <w:rPr>
          <w:rFonts w:ascii="Arial" w:hAnsi="Arial" w:cs="Arial"/>
        </w:rPr>
        <w:t>.5</w:t>
      </w:r>
      <w:r w:rsidR="00DA1DCA" w:rsidRPr="00092AC9">
        <w:rPr>
          <w:rFonts w:ascii="Arial" w:hAnsi="Arial" w:cs="Arial"/>
        </w:rPr>
        <w:t xml:space="preserve"> Petabytes of </w:t>
      </w:r>
      <w:proofErr w:type="spellStart"/>
      <w:r w:rsidR="00FF3C9D" w:rsidRPr="00092AC9">
        <w:rPr>
          <w:rFonts w:ascii="Arial" w:hAnsi="Arial" w:cs="Arial"/>
        </w:rPr>
        <w:t>Panasas</w:t>
      </w:r>
      <w:proofErr w:type="spellEnd"/>
      <w:r w:rsidR="00FF3C9D" w:rsidRPr="00092AC9">
        <w:rPr>
          <w:rFonts w:ascii="Arial" w:hAnsi="Arial" w:cs="Arial"/>
        </w:rPr>
        <w:t xml:space="preserve"> </w:t>
      </w:r>
      <w:r w:rsidR="00DA1DCA" w:rsidRPr="00092AC9">
        <w:rPr>
          <w:rFonts w:ascii="Arial" w:hAnsi="Arial" w:cs="Arial"/>
        </w:rPr>
        <w:t xml:space="preserve">and Hitachi Data systems </w:t>
      </w:r>
      <w:r w:rsidR="00FF3C9D" w:rsidRPr="00092AC9">
        <w:rPr>
          <w:rFonts w:ascii="Arial" w:hAnsi="Arial" w:cs="Arial"/>
        </w:rPr>
        <w:t>storage</w:t>
      </w:r>
    </w:p>
    <w:p w14:paraId="62A886AC" w14:textId="57FF1E55" w:rsidR="00FF3C9D" w:rsidRPr="00092AC9" w:rsidRDefault="004D6266" w:rsidP="009260A5">
      <w:pPr>
        <w:pStyle w:val="NoSpacing"/>
        <w:numPr>
          <w:ilvl w:val="0"/>
          <w:numId w:val="2"/>
        </w:numPr>
        <w:rPr>
          <w:rFonts w:ascii="Arial" w:hAnsi="Arial" w:cs="Arial"/>
          <w:lang w:val="da-DK"/>
        </w:rPr>
      </w:pPr>
      <w:r w:rsidRPr="00092AC9">
        <w:rPr>
          <w:rFonts w:ascii="Arial" w:hAnsi="Arial" w:cs="Arial"/>
        </w:rPr>
        <w:t xml:space="preserve">Two </w:t>
      </w:r>
      <w:proofErr w:type="spellStart"/>
      <w:r w:rsidR="00FF3C9D" w:rsidRPr="00092AC9">
        <w:rPr>
          <w:rFonts w:ascii="Arial" w:hAnsi="Arial" w:cs="Arial"/>
        </w:rPr>
        <w:t>Covaris</w:t>
      </w:r>
      <w:proofErr w:type="spellEnd"/>
      <w:r w:rsidR="00FF3C9D" w:rsidRPr="00092AC9">
        <w:rPr>
          <w:rFonts w:ascii="Arial" w:hAnsi="Arial" w:cs="Arial"/>
        </w:rPr>
        <w:t xml:space="preserve"> E210 </w:t>
      </w:r>
      <w:r w:rsidRPr="00092AC9">
        <w:rPr>
          <w:rFonts w:ascii="Arial" w:hAnsi="Arial" w:cs="Arial"/>
        </w:rPr>
        <w:t xml:space="preserve">and R230 </w:t>
      </w:r>
      <w:r w:rsidR="00FF3C9D" w:rsidRPr="00092AC9">
        <w:rPr>
          <w:rFonts w:ascii="Arial" w:hAnsi="Arial" w:cs="Arial"/>
        </w:rPr>
        <w:t xml:space="preserve">focus acoustic energy shearing </w:t>
      </w:r>
      <w:proofErr w:type="gramStart"/>
      <w:r w:rsidR="00FF3C9D" w:rsidRPr="00092AC9">
        <w:rPr>
          <w:rFonts w:ascii="Arial" w:hAnsi="Arial" w:cs="Arial"/>
        </w:rPr>
        <w:t>system</w:t>
      </w:r>
      <w:r w:rsidRPr="00092AC9">
        <w:rPr>
          <w:rFonts w:ascii="Arial" w:hAnsi="Arial" w:cs="Arial"/>
        </w:rPr>
        <w:t>s</w:t>
      </w:r>
      <w:proofErr w:type="gramEnd"/>
    </w:p>
    <w:p w14:paraId="713B80C3" w14:textId="58ACFB74" w:rsidR="004D6266" w:rsidRPr="00092AC9" w:rsidRDefault="004D6266" w:rsidP="009260A5">
      <w:pPr>
        <w:pStyle w:val="NoSpacing"/>
        <w:numPr>
          <w:ilvl w:val="0"/>
          <w:numId w:val="2"/>
        </w:numPr>
        <w:rPr>
          <w:rFonts w:ascii="Arial" w:hAnsi="Arial" w:cs="Arial"/>
          <w:lang w:val="da-DK"/>
        </w:rPr>
      </w:pPr>
      <w:r w:rsidRPr="00092AC9">
        <w:rPr>
          <w:rFonts w:ascii="Arial" w:hAnsi="Arial" w:cs="Arial"/>
        </w:rPr>
        <w:t>One Hamilton NGS STAR system for library prep</w:t>
      </w:r>
    </w:p>
    <w:p w14:paraId="7F378653" w14:textId="5B4113B7" w:rsidR="004D6266" w:rsidRPr="00092AC9" w:rsidRDefault="004D6266" w:rsidP="009260A5">
      <w:pPr>
        <w:pStyle w:val="NoSpacing"/>
        <w:numPr>
          <w:ilvl w:val="0"/>
          <w:numId w:val="2"/>
        </w:numPr>
        <w:rPr>
          <w:rFonts w:ascii="Arial" w:hAnsi="Arial" w:cs="Arial"/>
          <w:lang w:val="da-DK"/>
        </w:rPr>
      </w:pPr>
      <w:r w:rsidRPr="00092AC9">
        <w:rPr>
          <w:rFonts w:ascii="Arial" w:hAnsi="Arial" w:cs="Arial"/>
        </w:rPr>
        <w:t xml:space="preserve">PerkinElmer </w:t>
      </w:r>
      <w:proofErr w:type="spellStart"/>
      <w:r w:rsidRPr="00092AC9">
        <w:rPr>
          <w:rFonts w:ascii="Arial" w:hAnsi="Arial" w:cs="Arial"/>
        </w:rPr>
        <w:t>Scicl</w:t>
      </w:r>
      <w:r w:rsidR="007D63EC" w:rsidRPr="00092AC9">
        <w:rPr>
          <w:rFonts w:ascii="Arial" w:hAnsi="Arial" w:cs="Arial"/>
        </w:rPr>
        <w:t>o</w:t>
      </w:r>
      <w:r w:rsidRPr="00092AC9">
        <w:rPr>
          <w:rFonts w:ascii="Arial" w:hAnsi="Arial" w:cs="Arial"/>
        </w:rPr>
        <w:t>ne</w:t>
      </w:r>
      <w:proofErr w:type="spellEnd"/>
      <w:r w:rsidRPr="00092AC9">
        <w:rPr>
          <w:rFonts w:ascii="Arial" w:hAnsi="Arial" w:cs="Arial"/>
        </w:rPr>
        <w:t xml:space="preserve"> </w:t>
      </w:r>
      <w:r w:rsidR="007D63EC" w:rsidRPr="00092AC9">
        <w:rPr>
          <w:rFonts w:ascii="Arial" w:hAnsi="Arial" w:cs="Arial"/>
        </w:rPr>
        <w:t xml:space="preserve">G3 </w:t>
      </w:r>
      <w:proofErr w:type="spellStart"/>
      <w:r w:rsidR="007D63EC" w:rsidRPr="00092AC9">
        <w:rPr>
          <w:rFonts w:ascii="Arial" w:hAnsi="Arial" w:cs="Arial"/>
        </w:rPr>
        <w:t>NGSx</w:t>
      </w:r>
      <w:proofErr w:type="spellEnd"/>
      <w:r w:rsidR="007D63EC" w:rsidRPr="00092AC9">
        <w:rPr>
          <w:rFonts w:ascii="Arial" w:hAnsi="Arial" w:cs="Arial"/>
        </w:rPr>
        <w:t xml:space="preserve"> system for library prep</w:t>
      </w:r>
    </w:p>
    <w:p w14:paraId="6A9E4119" w14:textId="54B6A5C4" w:rsidR="007D63EC" w:rsidRPr="00092AC9" w:rsidRDefault="007D63EC" w:rsidP="009260A5">
      <w:pPr>
        <w:pStyle w:val="NoSpacing"/>
        <w:numPr>
          <w:ilvl w:val="0"/>
          <w:numId w:val="2"/>
        </w:numPr>
        <w:rPr>
          <w:rFonts w:ascii="Arial" w:hAnsi="Arial" w:cs="Arial"/>
          <w:lang w:val="da-DK"/>
        </w:rPr>
      </w:pPr>
      <w:r w:rsidRPr="00092AC9">
        <w:rPr>
          <w:rFonts w:ascii="Arial" w:hAnsi="Arial" w:cs="Arial"/>
        </w:rPr>
        <w:t>PerkinElmer Janus liquid handling system</w:t>
      </w:r>
    </w:p>
    <w:p w14:paraId="7E02385A" w14:textId="5640E7D9" w:rsidR="007D63EC" w:rsidRPr="00092AC9" w:rsidRDefault="007D63EC" w:rsidP="009260A5">
      <w:pPr>
        <w:pStyle w:val="NoSpacing"/>
        <w:numPr>
          <w:ilvl w:val="0"/>
          <w:numId w:val="2"/>
        </w:numPr>
        <w:rPr>
          <w:rFonts w:ascii="Arial" w:hAnsi="Arial" w:cs="Arial"/>
          <w:lang w:val="da-DK"/>
        </w:rPr>
      </w:pPr>
      <w:r w:rsidRPr="00092AC9">
        <w:rPr>
          <w:rFonts w:ascii="Arial" w:hAnsi="Arial" w:cs="Arial"/>
        </w:rPr>
        <w:t>Two Integra VIOFLOW pipetting systems</w:t>
      </w:r>
    </w:p>
    <w:p w14:paraId="130B55F6" w14:textId="4E1D762A" w:rsidR="007D63EC" w:rsidRPr="00092AC9" w:rsidRDefault="007D63EC" w:rsidP="009260A5">
      <w:pPr>
        <w:pStyle w:val="NoSpacing"/>
        <w:numPr>
          <w:ilvl w:val="0"/>
          <w:numId w:val="2"/>
        </w:numPr>
        <w:rPr>
          <w:rFonts w:ascii="Arial" w:hAnsi="Arial" w:cs="Arial"/>
          <w:lang w:val="da-DK"/>
        </w:rPr>
      </w:pPr>
      <w:r w:rsidRPr="00092AC9">
        <w:rPr>
          <w:rFonts w:ascii="Arial" w:hAnsi="Arial" w:cs="Arial"/>
        </w:rPr>
        <w:t xml:space="preserve">One </w:t>
      </w:r>
      <w:proofErr w:type="spellStart"/>
      <w:r w:rsidRPr="00092AC9">
        <w:rPr>
          <w:rFonts w:ascii="Arial" w:hAnsi="Arial" w:cs="Arial"/>
        </w:rPr>
        <w:t>Formulatrix</w:t>
      </w:r>
      <w:proofErr w:type="spellEnd"/>
      <w:r w:rsidRPr="00092AC9">
        <w:rPr>
          <w:rFonts w:ascii="Arial" w:hAnsi="Arial" w:cs="Arial"/>
        </w:rPr>
        <w:t xml:space="preserve"> Mantis liquid dispensing system</w:t>
      </w:r>
    </w:p>
    <w:p w14:paraId="76435CA2" w14:textId="0BFE74E7" w:rsidR="00FF3C9D" w:rsidRPr="00092AC9" w:rsidRDefault="00FF3C9D" w:rsidP="009260A5">
      <w:pPr>
        <w:pStyle w:val="NoSpacing"/>
        <w:numPr>
          <w:ilvl w:val="0"/>
          <w:numId w:val="2"/>
        </w:numPr>
        <w:rPr>
          <w:rFonts w:ascii="Arial" w:hAnsi="Arial" w:cs="Arial"/>
        </w:rPr>
      </w:pPr>
      <w:r w:rsidRPr="00092AC9">
        <w:rPr>
          <w:rFonts w:ascii="Arial" w:hAnsi="Arial" w:cs="Arial"/>
        </w:rPr>
        <w:t xml:space="preserve">Caliper </w:t>
      </w:r>
      <w:proofErr w:type="spellStart"/>
      <w:r w:rsidRPr="00092AC9">
        <w:rPr>
          <w:rFonts w:ascii="Arial" w:hAnsi="Arial" w:cs="Arial"/>
        </w:rPr>
        <w:t>LabChip</w:t>
      </w:r>
      <w:proofErr w:type="spellEnd"/>
      <w:r w:rsidRPr="00092AC9">
        <w:rPr>
          <w:rFonts w:ascii="Arial" w:hAnsi="Arial" w:cs="Arial"/>
        </w:rPr>
        <w:t xml:space="preserve"> GX system</w:t>
      </w:r>
    </w:p>
    <w:p w14:paraId="3BD789DA" w14:textId="091D7326" w:rsidR="004D6266" w:rsidRPr="00092AC9" w:rsidRDefault="004D6266" w:rsidP="009260A5">
      <w:pPr>
        <w:pStyle w:val="NoSpacing"/>
        <w:numPr>
          <w:ilvl w:val="0"/>
          <w:numId w:val="2"/>
        </w:numPr>
        <w:rPr>
          <w:rFonts w:ascii="Arial" w:hAnsi="Arial" w:cs="Arial"/>
        </w:rPr>
      </w:pPr>
      <w:r w:rsidRPr="00092AC9">
        <w:rPr>
          <w:rFonts w:ascii="Arial" w:hAnsi="Arial" w:cs="Arial"/>
        </w:rPr>
        <w:t xml:space="preserve">Two Agilent </w:t>
      </w:r>
      <w:proofErr w:type="spellStart"/>
      <w:r w:rsidRPr="00092AC9">
        <w:rPr>
          <w:rFonts w:ascii="Arial" w:hAnsi="Arial" w:cs="Arial"/>
        </w:rPr>
        <w:t>TapeStation</w:t>
      </w:r>
      <w:proofErr w:type="spellEnd"/>
      <w:r w:rsidRPr="00092AC9">
        <w:rPr>
          <w:rFonts w:ascii="Arial" w:hAnsi="Arial" w:cs="Arial"/>
        </w:rPr>
        <w:t xml:space="preserve"> 4200 systems</w:t>
      </w:r>
    </w:p>
    <w:p w14:paraId="4A43DE62" w14:textId="47D57D79" w:rsidR="00D84E82" w:rsidRPr="00092AC9" w:rsidRDefault="00D84E82" w:rsidP="009260A5">
      <w:pPr>
        <w:pStyle w:val="NoSpacing"/>
        <w:numPr>
          <w:ilvl w:val="0"/>
          <w:numId w:val="2"/>
        </w:numPr>
        <w:rPr>
          <w:rFonts w:ascii="Arial" w:hAnsi="Arial" w:cs="Arial"/>
        </w:rPr>
      </w:pPr>
      <w:r w:rsidRPr="00092AC9">
        <w:rPr>
          <w:rFonts w:ascii="Arial" w:hAnsi="Arial" w:cs="Arial"/>
        </w:rPr>
        <w:t xml:space="preserve">Two Roche </w:t>
      </w:r>
      <w:proofErr w:type="spellStart"/>
      <w:r w:rsidRPr="00092AC9">
        <w:rPr>
          <w:rFonts w:ascii="Arial" w:hAnsi="Arial" w:cs="Arial"/>
        </w:rPr>
        <w:t>LightCycler</w:t>
      </w:r>
      <w:proofErr w:type="spellEnd"/>
      <w:r w:rsidRPr="00092AC9">
        <w:rPr>
          <w:rFonts w:ascii="Arial" w:hAnsi="Arial" w:cs="Arial"/>
        </w:rPr>
        <w:t xml:space="preserve"> 480 </w:t>
      </w:r>
      <w:proofErr w:type="spellStart"/>
      <w:r w:rsidRPr="00092AC9">
        <w:rPr>
          <w:rFonts w:ascii="Arial" w:hAnsi="Arial" w:cs="Arial"/>
        </w:rPr>
        <w:t>ll</w:t>
      </w:r>
      <w:proofErr w:type="spellEnd"/>
      <w:r w:rsidRPr="00092AC9">
        <w:rPr>
          <w:rFonts w:ascii="Arial" w:hAnsi="Arial" w:cs="Arial"/>
        </w:rPr>
        <w:t xml:space="preserve"> qPCR systems</w:t>
      </w:r>
    </w:p>
    <w:p w14:paraId="643B603A" w14:textId="7D7113F9" w:rsidR="00D84E82" w:rsidRPr="00092AC9" w:rsidRDefault="00D84E82" w:rsidP="009260A5">
      <w:pPr>
        <w:pStyle w:val="NoSpacing"/>
        <w:numPr>
          <w:ilvl w:val="0"/>
          <w:numId w:val="2"/>
        </w:numPr>
        <w:rPr>
          <w:rFonts w:ascii="Arial" w:hAnsi="Arial" w:cs="Arial"/>
        </w:rPr>
      </w:pPr>
      <w:r w:rsidRPr="00092AC9">
        <w:rPr>
          <w:rFonts w:ascii="Arial" w:hAnsi="Arial" w:cs="Arial"/>
        </w:rPr>
        <w:t xml:space="preserve">One Fisher </w:t>
      </w:r>
      <w:proofErr w:type="spellStart"/>
      <w:r w:rsidRPr="00092AC9">
        <w:rPr>
          <w:rFonts w:ascii="Arial" w:hAnsi="Arial" w:cs="Arial"/>
        </w:rPr>
        <w:t>QuantStudio</w:t>
      </w:r>
      <w:proofErr w:type="spellEnd"/>
      <w:r w:rsidRPr="00092AC9">
        <w:rPr>
          <w:rFonts w:ascii="Arial" w:hAnsi="Arial" w:cs="Arial"/>
        </w:rPr>
        <w:t xml:space="preserve"> Absolute Q Digital PCR System</w:t>
      </w:r>
    </w:p>
    <w:p w14:paraId="761839E7" w14:textId="581D9F5B" w:rsidR="00D84E82" w:rsidRPr="00092AC9" w:rsidRDefault="00D84E82" w:rsidP="009260A5">
      <w:pPr>
        <w:pStyle w:val="NoSpacing"/>
        <w:numPr>
          <w:ilvl w:val="0"/>
          <w:numId w:val="2"/>
        </w:numPr>
        <w:rPr>
          <w:rFonts w:ascii="Arial" w:hAnsi="Arial" w:cs="Arial"/>
        </w:rPr>
      </w:pPr>
      <w:r w:rsidRPr="00092AC9">
        <w:rPr>
          <w:rFonts w:ascii="Arial" w:hAnsi="Arial" w:cs="Arial"/>
        </w:rPr>
        <w:t xml:space="preserve">One </w:t>
      </w:r>
      <w:proofErr w:type="spellStart"/>
      <w:r w:rsidRPr="00092AC9">
        <w:rPr>
          <w:rFonts w:ascii="Arial" w:hAnsi="Arial" w:cs="Arial"/>
        </w:rPr>
        <w:t>BioRad</w:t>
      </w:r>
      <w:proofErr w:type="spellEnd"/>
      <w:r w:rsidRPr="00092AC9">
        <w:rPr>
          <w:rFonts w:ascii="Arial" w:hAnsi="Arial" w:cs="Arial"/>
        </w:rPr>
        <w:t xml:space="preserve"> C</w:t>
      </w:r>
      <w:r w:rsidR="00C92448" w:rsidRPr="00092AC9">
        <w:rPr>
          <w:rFonts w:ascii="Arial" w:hAnsi="Arial" w:cs="Arial"/>
        </w:rPr>
        <w:t>FX</w:t>
      </w:r>
      <w:r w:rsidRPr="00092AC9">
        <w:rPr>
          <w:rFonts w:ascii="Arial" w:hAnsi="Arial" w:cs="Arial"/>
        </w:rPr>
        <w:t xml:space="preserve"> Opus 96 RT-PCR system</w:t>
      </w:r>
    </w:p>
    <w:p w14:paraId="03774958" w14:textId="624E426D" w:rsidR="00A774E9" w:rsidRPr="00092AC9" w:rsidRDefault="00A774E9" w:rsidP="009260A5">
      <w:pPr>
        <w:pStyle w:val="NoSpacing"/>
        <w:numPr>
          <w:ilvl w:val="0"/>
          <w:numId w:val="2"/>
        </w:numPr>
        <w:rPr>
          <w:rFonts w:ascii="Arial" w:hAnsi="Arial" w:cs="Arial"/>
        </w:rPr>
      </w:pPr>
      <w:r w:rsidRPr="00092AC9">
        <w:rPr>
          <w:rFonts w:ascii="Arial" w:hAnsi="Arial" w:cs="Arial"/>
        </w:rPr>
        <w:t xml:space="preserve">16 </w:t>
      </w:r>
      <w:proofErr w:type="spellStart"/>
      <w:r w:rsidRPr="00092AC9">
        <w:rPr>
          <w:rFonts w:ascii="Arial" w:hAnsi="Arial" w:cs="Arial"/>
        </w:rPr>
        <w:t>BioRad</w:t>
      </w:r>
      <w:proofErr w:type="spellEnd"/>
      <w:r w:rsidRPr="00092AC9">
        <w:rPr>
          <w:rFonts w:ascii="Arial" w:hAnsi="Arial" w:cs="Arial"/>
        </w:rPr>
        <w:t xml:space="preserve"> 96-well </w:t>
      </w:r>
      <w:proofErr w:type="spellStart"/>
      <w:r w:rsidRPr="00092AC9">
        <w:rPr>
          <w:rFonts w:ascii="Arial" w:hAnsi="Arial" w:cs="Arial"/>
        </w:rPr>
        <w:t>Thermo</w:t>
      </w:r>
      <w:proofErr w:type="spellEnd"/>
      <w:r w:rsidRPr="00092AC9">
        <w:rPr>
          <w:rFonts w:ascii="Arial" w:hAnsi="Arial" w:cs="Arial"/>
        </w:rPr>
        <w:t xml:space="preserve"> Cyclers</w:t>
      </w:r>
    </w:p>
    <w:p w14:paraId="11459F20" w14:textId="5E23DF54" w:rsidR="00FF3C9D" w:rsidRPr="00092AC9" w:rsidRDefault="007A4BF5" w:rsidP="009260A5">
      <w:pPr>
        <w:pStyle w:val="NoSpacing"/>
        <w:numPr>
          <w:ilvl w:val="0"/>
          <w:numId w:val="2"/>
        </w:numPr>
        <w:rPr>
          <w:rFonts w:ascii="Arial" w:hAnsi="Arial" w:cs="Arial"/>
        </w:rPr>
      </w:pPr>
      <w:r>
        <w:rPr>
          <w:rFonts w:ascii="Arial" w:hAnsi="Arial" w:cs="Arial"/>
        </w:rPr>
        <w:t>Three</w:t>
      </w:r>
      <w:r w:rsidR="00DA1DCA" w:rsidRPr="00092AC9">
        <w:rPr>
          <w:rFonts w:ascii="Arial" w:hAnsi="Arial" w:cs="Arial"/>
        </w:rPr>
        <w:t xml:space="preserve"> </w:t>
      </w:r>
      <w:r w:rsidR="00FF3C9D" w:rsidRPr="00092AC9">
        <w:rPr>
          <w:rFonts w:ascii="Arial" w:hAnsi="Arial" w:cs="Arial"/>
        </w:rPr>
        <w:t xml:space="preserve">Agilent </w:t>
      </w:r>
      <w:r>
        <w:rPr>
          <w:rFonts w:ascii="Arial" w:hAnsi="Arial" w:cs="Arial"/>
        </w:rPr>
        <w:t>Bioanalyzers</w:t>
      </w:r>
      <w:r w:rsidR="00FF3C9D" w:rsidRPr="00092AC9">
        <w:rPr>
          <w:rFonts w:ascii="Arial" w:hAnsi="Arial" w:cs="Arial"/>
        </w:rPr>
        <w:t xml:space="preserve"> for Q/C of RNA, cDNA, </w:t>
      </w:r>
      <w:proofErr w:type="spellStart"/>
      <w:r w:rsidR="00FF3C9D" w:rsidRPr="00092AC9">
        <w:rPr>
          <w:rFonts w:ascii="Arial" w:hAnsi="Arial" w:cs="Arial"/>
        </w:rPr>
        <w:t>cRNA</w:t>
      </w:r>
      <w:proofErr w:type="spellEnd"/>
      <w:r>
        <w:rPr>
          <w:rFonts w:ascii="Arial" w:hAnsi="Arial" w:cs="Arial"/>
        </w:rPr>
        <w:t>,</w:t>
      </w:r>
      <w:r w:rsidR="00FF3C9D" w:rsidRPr="00092AC9">
        <w:rPr>
          <w:rFonts w:ascii="Arial" w:hAnsi="Arial" w:cs="Arial"/>
        </w:rPr>
        <w:t xml:space="preserve"> and fragmented </w:t>
      </w:r>
      <w:proofErr w:type="spellStart"/>
      <w:r w:rsidR="00FF3C9D" w:rsidRPr="00092AC9">
        <w:rPr>
          <w:rFonts w:ascii="Arial" w:hAnsi="Arial" w:cs="Arial"/>
        </w:rPr>
        <w:t>cRNA</w:t>
      </w:r>
      <w:proofErr w:type="spellEnd"/>
    </w:p>
    <w:p w14:paraId="36F6543C" w14:textId="77777777" w:rsidR="00A418D2" w:rsidRPr="00092AC9" w:rsidRDefault="00A418D2" w:rsidP="009260A5">
      <w:pPr>
        <w:pStyle w:val="NoSpacing"/>
        <w:numPr>
          <w:ilvl w:val="0"/>
          <w:numId w:val="2"/>
        </w:numPr>
        <w:rPr>
          <w:rFonts w:ascii="Arial" w:hAnsi="Arial" w:cs="Arial"/>
        </w:rPr>
      </w:pPr>
      <w:r w:rsidRPr="00092AC9">
        <w:rPr>
          <w:rFonts w:ascii="Arial" w:hAnsi="Arial" w:cs="Arial"/>
        </w:rPr>
        <w:t>Fragment analyzer capillary electrophoresis system</w:t>
      </w:r>
    </w:p>
    <w:p w14:paraId="230A51D3" w14:textId="5AD7E014" w:rsidR="00FF3C9D" w:rsidRPr="00092AC9" w:rsidRDefault="00FF3C9D" w:rsidP="009260A5">
      <w:pPr>
        <w:pStyle w:val="NoSpacing"/>
        <w:numPr>
          <w:ilvl w:val="0"/>
          <w:numId w:val="2"/>
        </w:numPr>
        <w:rPr>
          <w:rFonts w:ascii="Arial" w:hAnsi="Arial" w:cs="Arial"/>
        </w:rPr>
      </w:pPr>
      <w:r w:rsidRPr="00092AC9">
        <w:rPr>
          <w:rFonts w:ascii="Arial" w:hAnsi="Arial" w:cs="Arial"/>
        </w:rPr>
        <w:t xml:space="preserve">Eppendorf </w:t>
      </w:r>
      <w:proofErr w:type="spellStart"/>
      <w:r w:rsidRPr="00092AC9">
        <w:rPr>
          <w:rFonts w:ascii="Arial" w:hAnsi="Arial" w:cs="Arial"/>
        </w:rPr>
        <w:t>epMotion</w:t>
      </w:r>
      <w:proofErr w:type="spellEnd"/>
      <w:r w:rsidRPr="00092AC9">
        <w:rPr>
          <w:rFonts w:ascii="Arial" w:hAnsi="Arial" w:cs="Arial"/>
        </w:rPr>
        <w:t xml:space="preserve"> 5075LH automated liquid handler </w:t>
      </w:r>
    </w:p>
    <w:p w14:paraId="26BC3C7A" w14:textId="2E94A0EF" w:rsidR="0043427C" w:rsidRPr="00092AC9" w:rsidRDefault="0043427C" w:rsidP="009260A5">
      <w:pPr>
        <w:pStyle w:val="NoSpacing"/>
        <w:numPr>
          <w:ilvl w:val="0"/>
          <w:numId w:val="2"/>
        </w:numPr>
        <w:rPr>
          <w:rFonts w:ascii="Arial" w:hAnsi="Arial" w:cs="Arial"/>
        </w:rPr>
      </w:pPr>
      <w:r w:rsidRPr="00092AC9">
        <w:rPr>
          <w:rFonts w:ascii="Arial" w:hAnsi="Arial" w:cs="Arial"/>
        </w:rPr>
        <w:t>Fisher scientific Kingfisher automation for nucleic acid extraction</w:t>
      </w:r>
    </w:p>
    <w:p w14:paraId="5DF1BED4" w14:textId="77777777" w:rsidR="00FF3C9D" w:rsidRPr="00092AC9" w:rsidRDefault="00FF3C9D" w:rsidP="009260A5">
      <w:pPr>
        <w:pStyle w:val="NoSpacing"/>
        <w:numPr>
          <w:ilvl w:val="0"/>
          <w:numId w:val="2"/>
        </w:numPr>
        <w:rPr>
          <w:rFonts w:ascii="Arial" w:hAnsi="Arial" w:cs="Arial"/>
        </w:rPr>
      </w:pPr>
      <w:r w:rsidRPr="00092AC9">
        <w:rPr>
          <w:rFonts w:ascii="Arial" w:hAnsi="Arial" w:cs="Arial"/>
        </w:rPr>
        <w:lastRenderedPageBreak/>
        <w:t xml:space="preserve">Molecular Devices </w:t>
      </w:r>
      <w:proofErr w:type="spellStart"/>
      <w:r w:rsidRPr="00092AC9">
        <w:rPr>
          <w:rFonts w:ascii="Arial" w:hAnsi="Arial" w:cs="Arial"/>
        </w:rPr>
        <w:t>SpectraMax</w:t>
      </w:r>
      <w:proofErr w:type="spellEnd"/>
      <w:r w:rsidRPr="00092AC9">
        <w:rPr>
          <w:rFonts w:ascii="Arial" w:hAnsi="Arial" w:cs="Arial"/>
        </w:rPr>
        <w:t xml:space="preserve"> II 96/384-well spectrophotometer</w:t>
      </w:r>
    </w:p>
    <w:p w14:paraId="1E32A72E" w14:textId="321FE20D" w:rsidR="00FF3C9D" w:rsidRPr="00092AC9" w:rsidRDefault="00FC61B5" w:rsidP="009260A5">
      <w:pPr>
        <w:pStyle w:val="NoSpacing"/>
        <w:numPr>
          <w:ilvl w:val="0"/>
          <w:numId w:val="2"/>
        </w:numPr>
        <w:rPr>
          <w:rFonts w:ascii="Arial" w:hAnsi="Arial" w:cs="Arial"/>
        </w:rPr>
      </w:pPr>
      <w:r w:rsidRPr="00092AC9">
        <w:rPr>
          <w:rFonts w:ascii="Arial" w:hAnsi="Arial" w:cs="Arial"/>
        </w:rPr>
        <w:t xml:space="preserve">Illumina </w:t>
      </w:r>
      <w:r w:rsidR="00FF3C9D" w:rsidRPr="00092AC9">
        <w:rPr>
          <w:rFonts w:ascii="Arial" w:hAnsi="Arial" w:cs="Arial"/>
        </w:rPr>
        <w:t xml:space="preserve">throughput </w:t>
      </w:r>
      <w:r w:rsidR="00BF21E1" w:rsidRPr="00092AC9">
        <w:rPr>
          <w:rFonts w:ascii="Arial" w:hAnsi="Arial" w:cs="Arial"/>
        </w:rPr>
        <w:t xml:space="preserve">microarray </w:t>
      </w:r>
      <w:r w:rsidR="00FF3C9D" w:rsidRPr="00092AC9">
        <w:rPr>
          <w:rFonts w:ascii="Arial" w:hAnsi="Arial" w:cs="Arial"/>
        </w:rPr>
        <w:t xml:space="preserve">system with </w:t>
      </w:r>
      <w:r w:rsidR="007C3CD2" w:rsidRPr="00092AC9">
        <w:rPr>
          <w:rFonts w:ascii="Arial" w:hAnsi="Arial" w:cs="Arial"/>
        </w:rPr>
        <w:t xml:space="preserve">one </w:t>
      </w:r>
      <w:r w:rsidR="00FF3C9D" w:rsidRPr="00092AC9">
        <w:rPr>
          <w:rFonts w:ascii="Arial" w:hAnsi="Arial" w:cs="Arial"/>
        </w:rPr>
        <w:t xml:space="preserve">Tecan robotics and </w:t>
      </w:r>
      <w:proofErr w:type="spellStart"/>
      <w:r w:rsidR="00722D4A" w:rsidRPr="00092AC9">
        <w:rPr>
          <w:rFonts w:ascii="Arial" w:hAnsi="Arial" w:cs="Arial"/>
        </w:rPr>
        <w:t>Hi</w:t>
      </w:r>
      <w:r w:rsidR="00FF3C9D" w:rsidRPr="00092AC9">
        <w:rPr>
          <w:rFonts w:ascii="Arial" w:hAnsi="Arial" w:cs="Arial"/>
        </w:rPr>
        <w:t>Scans</w:t>
      </w:r>
      <w:proofErr w:type="spellEnd"/>
      <w:r w:rsidR="00FF3C9D" w:rsidRPr="00092AC9">
        <w:rPr>
          <w:rFonts w:ascii="Arial" w:hAnsi="Arial" w:cs="Arial"/>
        </w:rPr>
        <w:t xml:space="preserve"> with </w:t>
      </w:r>
      <w:r w:rsidR="007A4BF5">
        <w:rPr>
          <w:rFonts w:ascii="Arial" w:hAnsi="Arial" w:cs="Arial"/>
        </w:rPr>
        <w:t xml:space="preserve">an </w:t>
      </w:r>
      <w:r w:rsidR="00FF3C9D" w:rsidRPr="00092AC9">
        <w:rPr>
          <w:rFonts w:ascii="Arial" w:hAnsi="Arial" w:cs="Arial"/>
        </w:rPr>
        <w:t>autoloader.</w:t>
      </w:r>
    </w:p>
    <w:p w14:paraId="18445339" w14:textId="77777777" w:rsidR="00FF3C9D" w:rsidRPr="00092AC9" w:rsidRDefault="00FF3C9D" w:rsidP="009260A5">
      <w:pPr>
        <w:pStyle w:val="NoSpacing"/>
        <w:numPr>
          <w:ilvl w:val="0"/>
          <w:numId w:val="2"/>
        </w:numPr>
        <w:rPr>
          <w:rFonts w:ascii="Arial" w:hAnsi="Arial" w:cs="Arial"/>
        </w:rPr>
      </w:pPr>
      <w:r w:rsidRPr="00092AC9">
        <w:rPr>
          <w:rFonts w:ascii="Arial" w:hAnsi="Arial" w:cs="Arial"/>
        </w:rPr>
        <w:t xml:space="preserve">Affymetrix </w:t>
      </w:r>
      <w:proofErr w:type="spellStart"/>
      <w:r w:rsidRPr="00092AC9">
        <w:rPr>
          <w:rFonts w:ascii="Arial" w:hAnsi="Arial" w:cs="Arial"/>
        </w:rPr>
        <w:t>GeneChip</w:t>
      </w:r>
      <w:proofErr w:type="spellEnd"/>
      <w:r w:rsidRPr="00092AC9">
        <w:rPr>
          <w:rFonts w:ascii="Arial" w:hAnsi="Arial" w:cs="Arial"/>
        </w:rPr>
        <w:t xml:space="preserve"> Model 3000 Scanners with autoloaders</w:t>
      </w:r>
    </w:p>
    <w:p w14:paraId="10397E70" w14:textId="65254EB7" w:rsidR="00FF3C9D" w:rsidRPr="00092AC9" w:rsidRDefault="007C3CD2" w:rsidP="009260A5">
      <w:pPr>
        <w:pStyle w:val="NoSpacing"/>
        <w:numPr>
          <w:ilvl w:val="0"/>
          <w:numId w:val="2"/>
        </w:numPr>
        <w:rPr>
          <w:rFonts w:ascii="Arial" w:hAnsi="Arial" w:cs="Arial"/>
        </w:rPr>
      </w:pPr>
      <w:r w:rsidRPr="00092AC9">
        <w:rPr>
          <w:rFonts w:ascii="Arial" w:hAnsi="Arial" w:cs="Arial"/>
        </w:rPr>
        <w:t xml:space="preserve">Three </w:t>
      </w:r>
      <w:r w:rsidR="00FF3C9D" w:rsidRPr="00092AC9">
        <w:rPr>
          <w:rFonts w:ascii="Arial" w:hAnsi="Arial" w:cs="Arial"/>
        </w:rPr>
        <w:t xml:space="preserve">Affymetrix </w:t>
      </w:r>
      <w:proofErr w:type="spellStart"/>
      <w:r w:rsidR="00FF3C9D" w:rsidRPr="00092AC9">
        <w:rPr>
          <w:rFonts w:ascii="Arial" w:hAnsi="Arial" w:cs="Arial"/>
        </w:rPr>
        <w:t>GeneChip</w:t>
      </w:r>
      <w:proofErr w:type="spellEnd"/>
      <w:r w:rsidR="00FF3C9D" w:rsidRPr="00092AC9">
        <w:rPr>
          <w:rFonts w:ascii="Arial" w:hAnsi="Arial" w:cs="Arial"/>
        </w:rPr>
        <w:t xml:space="preserve"> Model 450 fluidics stations </w:t>
      </w:r>
    </w:p>
    <w:p w14:paraId="08B4422B" w14:textId="77777777" w:rsidR="003C5A1F" w:rsidRPr="00092AC9" w:rsidRDefault="003C5A1F" w:rsidP="009260A5">
      <w:pPr>
        <w:pStyle w:val="NoSpacing"/>
        <w:numPr>
          <w:ilvl w:val="0"/>
          <w:numId w:val="2"/>
        </w:numPr>
        <w:rPr>
          <w:rFonts w:ascii="Arial" w:hAnsi="Arial" w:cs="Arial"/>
        </w:rPr>
      </w:pPr>
      <w:r w:rsidRPr="00092AC9">
        <w:rPr>
          <w:rFonts w:ascii="Arial" w:hAnsi="Arial" w:cs="Arial"/>
        </w:rPr>
        <w:t xml:space="preserve">Eco Revolve fluorescent </w:t>
      </w:r>
      <w:proofErr w:type="gramStart"/>
      <w:r w:rsidRPr="00092AC9">
        <w:rPr>
          <w:rFonts w:ascii="Arial" w:hAnsi="Arial" w:cs="Arial"/>
        </w:rPr>
        <w:t>microscope</w:t>
      </w:r>
      <w:proofErr w:type="gramEnd"/>
    </w:p>
    <w:p w14:paraId="065B16EF" w14:textId="77777777" w:rsidR="003C5A1F" w:rsidRPr="00092AC9" w:rsidRDefault="003C5A1F" w:rsidP="009260A5">
      <w:pPr>
        <w:pStyle w:val="NoSpacing"/>
        <w:numPr>
          <w:ilvl w:val="0"/>
          <w:numId w:val="2"/>
        </w:numPr>
        <w:rPr>
          <w:rFonts w:ascii="Arial" w:hAnsi="Arial" w:cs="Arial"/>
        </w:rPr>
      </w:pPr>
      <w:r w:rsidRPr="00092AC9">
        <w:rPr>
          <w:rFonts w:ascii="Arial" w:hAnsi="Arial" w:cs="Arial"/>
        </w:rPr>
        <w:t>MERFISH technology</w:t>
      </w:r>
    </w:p>
    <w:p w14:paraId="6F8B81D9" w14:textId="54F78D34" w:rsidR="007B688F" w:rsidRPr="00092AC9" w:rsidRDefault="007B688F" w:rsidP="009260A5">
      <w:pPr>
        <w:pStyle w:val="NoSpacing"/>
        <w:numPr>
          <w:ilvl w:val="0"/>
          <w:numId w:val="2"/>
        </w:numPr>
        <w:rPr>
          <w:rFonts w:ascii="Arial" w:hAnsi="Arial" w:cs="Arial"/>
        </w:rPr>
      </w:pPr>
      <w:r w:rsidRPr="00092AC9">
        <w:rPr>
          <w:rFonts w:ascii="Arial" w:hAnsi="Arial" w:cs="Arial"/>
        </w:rPr>
        <w:t xml:space="preserve">More than 50 computer </w:t>
      </w:r>
      <w:r w:rsidR="007A4BF5">
        <w:rPr>
          <w:rFonts w:ascii="Arial" w:hAnsi="Arial" w:cs="Arial"/>
        </w:rPr>
        <w:t>workstations and laptops</w:t>
      </w:r>
      <w:r w:rsidRPr="00092AC9">
        <w:rPr>
          <w:rFonts w:ascii="Arial" w:hAnsi="Arial" w:cs="Arial"/>
        </w:rPr>
        <w:t>.</w:t>
      </w:r>
    </w:p>
    <w:p w14:paraId="5601566B" w14:textId="77777777" w:rsidR="0041660C" w:rsidRPr="00092AC9" w:rsidRDefault="0041660C" w:rsidP="009260A5">
      <w:pPr>
        <w:pStyle w:val="NoSpacing"/>
        <w:rPr>
          <w:rFonts w:ascii="Arial" w:hAnsi="Arial" w:cs="Arial"/>
        </w:rPr>
      </w:pPr>
    </w:p>
    <w:p w14:paraId="191ACF62" w14:textId="02072D40" w:rsidR="009F58B3" w:rsidRPr="00092AC9" w:rsidRDefault="009F58B3" w:rsidP="009F58B3">
      <w:pPr>
        <w:spacing w:after="0" w:line="240" w:lineRule="auto"/>
        <w:rPr>
          <w:rFonts w:ascii="Arial" w:eastAsia="Times New Roman" w:hAnsi="Arial" w:cs="Arial"/>
        </w:rPr>
      </w:pPr>
      <w:r w:rsidRPr="00092AC9">
        <w:rPr>
          <w:rFonts w:ascii="Arial" w:eastAsia="Times New Roman" w:hAnsi="Arial" w:cs="Arial"/>
          <w:b/>
          <w:bCs/>
          <w:u w:val="single"/>
        </w:rPr>
        <w:t>Laboratory Information Management System at YCGA:</w:t>
      </w:r>
      <w:r w:rsidRPr="00092AC9">
        <w:rPr>
          <w:rFonts w:ascii="Arial" w:eastAsia="Times New Roman" w:hAnsi="Arial" w:cs="Arial"/>
          <w:u w:val="single"/>
        </w:rPr>
        <w:t> </w:t>
      </w:r>
      <w:r w:rsidRPr="00092AC9">
        <w:rPr>
          <w:rFonts w:ascii="Arial" w:eastAsia="Times New Roman" w:hAnsi="Arial" w:cs="Arial"/>
        </w:rPr>
        <w:t xml:space="preserve">All aspects of data generation, including sample collection, library preparation, sequencing, and billing, are tracked using the YCGA LIMS system. YCGA LIMS system consists of </w:t>
      </w:r>
      <w:proofErr w:type="spellStart"/>
      <w:r w:rsidRPr="00092AC9">
        <w:rPr>
          <w:rFonts w:ascii="Arial" w:eastAsia="Times New Roman" w:hAnsi="Arial" w:cs="Arial"/>
        </w:rPr>
        <w:t>ilab</w:t>
      </w:r>
      <w:proofErr w:type="spellEnd"/>
      <w:r w:rsidRPr="00092AC9">
        <w:rPr>
          <w:rFonts w:ascii="Arial" w:eastAsia="Times New Roman" w:hAnsi="Arial" w:cs="Arial"/>
        </w:rPr>
        <w:t xml:space="preserve"> and SLIMs modules from Agilent customized based on the workflow needs of YCGA. YCGA LIMS system is an online, flexible, scalable, and password-protected database integrated with Yale’s CAS (central authentication system) and central billing system. </w:t>
      </w:r>
      <w:proofErr w:type="spellStart"/>
      <w:r w:rsidRPr="00092AC9">
        <w:rPr>
          <w:rFonts w:ascii="Arial" w:eastAsia="Times New Roman" w:hAnsi="Arial" w:cs="Arial"/>
        </w:rPr>
        <w:t>ilab</w:t>
      </w:r>
      <w:proofErr w:type="spellEnd"/>
      <w:r w:rsidRPr="00092AC9">
        <w:rPr>
          <w:rFonts w:ascii="Arial" w:eastAsia="Times New Roman" w:hAnsi="Arial" w:cs="Arial"/>
        </w:rPr>
        <w:t xml:space="preserve"> system tracks samples, projects, and billing and can create reports on billing, resource utilization, and projects per need. This LIMS system provides sample status information to users and YCGA staff throughout the sample’s passage in the library preparation and sequencing workflow, including primary analysis of the sequence data and its delivery to the </w:t>
      </w:r>
      <w:r w:rsidR="007A4BF5">
        <w:rPr>
          <w:rFonts w:ascii="Arial" w:eastAsia="Times New Roman" w:hAnsi="Arial" w:cs="Arial"/>
        </w:rPr>
        <w:t>end user</w:t>
      </w:r>
      <w:r w:rsidRPr="00092AC9">
        <w:rPr>
          <w:rFonts w:ascii="Arial" w:eastAsia="Times New Roman" w:hAnsi="Arial" w:cs="Arial"/>
        </w:rPr>
        <w:t xml:space="preserve">. Before receiving the DNA samples, the investigator or laboratory staff enters the metadata associated with each sample, including analysis parameters. The user-set parameters of the reference genome and analysis type are selected from drop-down menus when the samples are submitted to YCGA. All subsequent critical aspects of sample tracking, namely the sample to </w:t>
      </w:r>
      <w:proofErr w:type="spellStart"/>
      <w:r w:rsidRPr="00092AC9">
        <w:rPr>
          <w:rFonts w:ascii="Arial" w:eastAsia="Times New Roman" w:hAnsi="Arial" w:cs="Arial"/>
        </w:rPr>
        <w:t>flowcell</w:t>
      </w:r>
      <w:proofErr w:type="spellEnd"/>
      <w:r w:rsidRPr="00092AC9">
        <w:rPr>
          <w:rFonts w:ascii="Arial" w:eastAsia="Times New Roman" w:hAnsi="Arial" w:cs="Arial"/>
        </w:rPr>
        <w:t xml:space="preserve"> lane assignments and associated results files, are entered and monitored via this SLIMS system by the </w:t>
      </w:r>
      <w:proofErr w:type="gramStart"/>
      <w:r w:rsidRPr="00092AC9">
        <w:rPr>
          <w:rFonts w:ascii="Arial" w:eastAsia="Times New Roman" w:hAnsi="Arial" w:cs="Arial"/>
        </w:rPr>
        <w:t>Library</w:t>
      </w:r>
      <w:proofErr w:type="gramEnd"/>
      <w:r w:rsidRPr="00092AC9">
        <w:rPr>
          <w:rFonts w:ascii="Arial" w:eastAsia="Times New Roman" w:hAnsi="Arial" w:cs="Arial"/>
        </w:rPr>
        <w:t xml:space="preserve"> prep, sequencing, and Bioinformatics teams of YCGA.</w:t>
      </w:r>
    </w:p>
    <w:p w14:paraId="3492A178" w14:textId="2431598C" w:rsidR="009F58B3" w:rsidRPr="00092AC9" w:rsidRDefault="009F58B3" w:rsidP="009F58B3">
      <w:pPr>
        <w:spacing w:after="0" w:line="240" w:lineRule="auto"/>
        <w:rPr>
          <w:rFonts w:ascii="Arial" w:eastAsia="Times New Roman" w:hAnsi="Arial" w:cs="Arial"/>
        </w:rPr>
      </w:pPr>
      <w:r w:rsidRPr="00092AC9">
        <w:rPr>
          <w:rFonts w:ascii="Arial" w:eastAsia="Times New Roman" w:hAnsi="Arial" w:cs="Arial"/>
        </w:rPr>
        <w:t xml:space="preserve">Additionally, the machine runs can be monitored remotely through the LIMS system. Once the primary analysis is completed and assessed for quality, an automated email is sent to the </w:t>
      </w:r>
      <w:r w:rsidR="007A4BF5">
        <w:rPr>
          <w:rFonts w:ascii="Arial" w:eastAsia="Times New Roman" w:hAnsi="Arial" w:cs="Arial"/>
        </w:rPr>
        <w:t>end user</w:t>
      </w:r>
      <w:r w:rsidRPr="00092AC9">
        <w:rPr>
          <w:rFonts w:ascii="Arial" w:eastAsia="Times New Roman" w:hAnsi="Arial" w:cs="Arial"/>
        </w:rPr>
        <w:t xml:space="preserve"> and the </w:t>
      </w:r>
      <w:proofErr w:type="gramStart"/>
      <w:r w:rsidRPr="00092AC9">
        <w:rPr>
          <w:rFonts w:ascii="Arial" w:eastAsia="Times New Roman" w:hAnsi="Arial" w:cs="Arial"/>
        </w:rPr>
        <w:t>Principal</w:t>
      </w:r>
      <w:proofErr w:type="gramEnd"/>
      <w:r w:rsidRPr="00092AC9">
        <w:rPr>
          <w:rFonts w:ascii="Arial" w:eastAsia="Times New Roman" w:hAnsi="Arial" w:cs="Arial"/>
        </w:rPr>
        <w:t xml:space="preserve"> investigator. The YCGA LIMS is expandable to include any range of data outputs and multiple sequencing platforms to handle rapidly evolving second and third-generation sequencing technologies and new genomics-based workflows. </w:t>
      </w:r>
    </w:p>
    <w:p w14:paraId="78493B47" w14:textId="77777777" w:rsidR="009F58B3" w:rsidRPr="00092AC9" w:rsidRDefault="009F58B3" w:rsidP="009F58B3">
      <w:pPr>
        <w:spacing w:after="0" w:line="240" w:lineRule="auto"/>
        <w:rPr>
          <w:rFonts w:ascii="Arial" w:eastAsia="Times New Roman" w:hAnsi="Arial" w:cs="Arial"/>
        </w:rPr>
      </w:pPr>
      <w:r w:rsidRPr="00092AC9">
        <w:rPr>
          <w:rFonts w:ascii="Arial" w:eastAsia="Times New Roman" w:hAnsi="Arial" w:cs="Arial"/>
          <w:u w:val="single"/>
        </w:rPr>
        <w:t> </w:t>
      </w:r>
    </w:p>
    <w:p w14:paraId="2C7405F6" w14:textId="77777777" w:rsidR="009F58B3" w:rsidRPr="00092AC9" w:rsidRDefault="009F58B3" w:rsidP="009F58B3">
      <w:pPr>
        <w:spacing w:after="0" w:line="240" w:lineRule="auto"/>
        <w:rPr>
          <w:rFonts w:ascii="Arial" w:eastAsia="Times New Roman" w:hAnsi="Arial" w:cs="Arial"/>
        </w:rPr>
      </w:pPr>
      <w:r w:rsidRPr="00092AC9">
        <w:rPr>
          <w:rFonts w:ascii="Arial" w:eastAsia="Times New Roman" w:hAnsi="Arial" w:cs="Arial"/>
          <w:u w:val="single"/>
        </w:rPr>
        <w:t> </w:t>
      </w:r>
    </w:p>
    <w:p w14:paraId="002490EE" w14:textId="50A16A2B" w:rsidR="00BF21E1" w:rsidRPr="00092AC9" w:rsidRDefault="00846D9A" w:rsidP="007E0331">
      <w:pPr>
        <w:pStyle w:val="NoSpacing"/>
        <w:jc w:val="both"/>
        <w:rPr>
          <w:rFonts w:ascii="Arial" w:hAnsi="Arial" w:cs="Arial"/>
        </w:rPr>
      </w:pPr>
      <w:r w:rsidRPr="00092AC9">
        <w:rPr>
          <w:rFonts w:ascii="Arial" w:hAnsi="Arial" w:cs="Arial"/>
          <w:u w:val="single"/>
        </w:rPr>
        <w:t xml:space="preserve">YCGA </w:t>
      </w:r>
      <w:r w:rsidR="007A4BF5">
        <w:rPr>
          <w:rFonts w:ascii="Arial" w:hAnsi="Arial" w:cs="Arial"/>
          <w:u w:val="single"/>
        </w:rPr>
        <w:t>High-Performance</w:t>
      </w:r>
      <w:r w:rsidRPr="00092AC9">
        <w:rPr>
          <w:rFonts w:ascii="Arial" w:hAnsi="Arial" w:cs="Arial"/>
          <w:u w:val="single"/>
        </w:rPr>
        <w:t xml:space="preserve"> Computation (HPC):</w:t>
      </w:r>
      <w:r w:rsidR="0041660C" w:rsidRPr="00092AC9">
        <w:rPr>
          <w:rFonts w:ascii="Arial" w:hAnsi="Arial" w:cs="Arial"/>
        </w:rPr>
        <w:t xml:space="preserve"> DNA sequence data generated by YCGA’s </w:t>
      </w:r>
      <w:r w:rsidR="007A4BF5">
        <w:rPr>
          <w:rFonts w:ascii="Arial" w:hAnsi="Arial" w:cs="Arial"/>
        </w:rPr>
        <w:t>Sequencers</w:t>
      </w:r>
      <w:r w:rsidR="0041660C" w:rsidRPr="00092AC9">
        <w:rPr>
          <w:rFonts w:ascii="Arial" w:hAnsi="Arial" w:cs="Arial"/>
        </w:rPr>
        <w:t xml:space="preserve"> are </w:t>
      </w:r>
      <w:r w:rsidR="0009287A" w:rsidRPr="00092AC9">
        <w:rPr>
          <w:rFonts w:ascii="Arial" w:hAnsi="Arial" w:cs="Arial"/>
        </w:rPr>
        <w:t xml:space="preserve">directly </w:t>
      </w:r>
      <w:r w:rsidR="0041660C" w:rsidRPr="00092AC9">
        <w:rPr>
          <w:rFonts w:ascii="Arial" w:hAnsi="Arial" w:cs="Arial"/>
        </w:rPr>
        <w:t xml:space="preserve">transferred </w:t>
      </w:r>
      <w:r w:rsidR="0009287A" w:rsidRPr="00092AC9">
        <w:rPr>
          <w:rFonts w:ascii="Arial" w:hAnsi="Arial" w:cs="Arial"/>
        </w:rPr>
        <w:t xml:space="preserve">to YCGA’s HPC for further analysis. </w:t>
      </w:r>
      <w:r w:rsidR="0041660C" w:rsidRPr="00092AC9">
        <w:rPr>
          <w:rFonts w:ascii="Arial" w:hAnsi="Arial" w:cs="Arial"/>
        </w:rPr>
        <w:t xml:space="preserve">The YCGA HPC consists of </w:t>
      </w:r>
      <w:r w:rsidR="009260A5" w:rsidRPr="00092AC9">
        <w:rPr>
          <w:rFonts w:ascii="Arial" w:hAnsi="Arial" w:cs="Arial"/>
        </w:rPr>
        <w:t>4</w:t>
      </w:r>
      <w:r w:rsidR="00CC00FB" w:rsidRPr="00092AC9">
        <w:rPr>
          <w:rFonts w:ascii="Arial" w:hAnsi="Arial" w:cs="Arial"/>
        </w:rPr>
        <w:t>00</w:t>
      </w:r>
      <w:r w:rsidR="0041660C" w:rsidRPr="00092AC9">
        <w:rPr>
          <w:rFonts w:ascii="Arial" w:hAnsi="Arial" w:cs="Arial"/>
        </w:rPr>
        <w:t xml:space="preserve"> nodes with </w:t>
      </w:r>
      <w:r w:rsidR="009260A5" w:rsidRPr="00092AC9">
        <w:rPr>
          <w:rFonts w:ascii="Arial" w:hAnsi="Arial" w:cs="Arial"/>
        </w:rPr>
        <w:t>4</w:t>
      </w:r>
      <w:r w:rsidR="00722D4A" w:rsidRPr="00092AC9">
        <w:rPr>
          <w:rFonts w:ascii="Arial" w:hAnsi="Arial" w:cs="Arial"/>
        </w:rPr>
        <w:t>614</w:t>
      </w:r>
      <w:r w:rsidR="0041660C" w:rsidRPr="00092AC9">
        <w:rPr>
          <w:rFonts w:ascii="Arial" w:hAnsi="Arial" w:cs="Arial"/>
        </w:rPr>
        <w:t xml:space="preserve"> cores/CPUs</w:t>
      </w:r>
      <w:r w:rsidR="007A4BF5">
        <w:rPr>
          <w:rFonts w:ascii="Arial" w:hAnsi="Arial" w:cs="Arial"/>
        </w:rPr>
        <w:t xml:space="preserve">, sixteen </w:t>
      </w:r>
      <w:proofErr w:type="gramStart"/>
      <w:r w:rsidR="007A4BF5">
        <w:rPr>
          <w:rFonts w:ascii="Arial" w:hAnsi="Arial" w:cs="Arial"/>
        </w:rPr>
        <w:t>GPU’s</w:t>
      </w:r>
      <w:proofErr w:type="gramEnd"/>
      <w:r w:rsidR="007A4BF5">
        <w:rPr>
          <w:rFonts w:ascii="Arial" w:hAnsi="Arial" w:cs="Arial"/>
        </w:rPr>
        <w:t>,</w:t>
      </w:r>
      <w:r w:rsidR="0041660C" w:rsidRPr="00092AC9">
        <w:rPr>
          <w:rFonts w:ascii="Arial" w:hAnsi="Arial" w:cs="Arial"/>
        </w:rPr>
        <w:t xml:space="preserve"> and approximately </w:t>
      </w:r>
      <w:r w:rsidR="007A4BF5">
        <w:rPr>
          <w:rFonts w:ascii="Arial" w:hAnsi="Arial" w:cs="Arial"/>
        </w:rPr>
        <w:t>five</w:t>
      </w:r>
      <w:r w:rsidR="001F2C17" w:rsidRPr="00092AC9">
        <w:rPr>
          <w:rFonts w:ascii="Arial" w:hAnsi="Arial" w:cs="Arial"/>
        </w:rPr>
        <w:t xml:space="preserve"> </w:t>
      </w:r>
      <w:r w:rsidR="0041660C" w:rsidRPr="00092AC9">
        <w:rPr>
          <w:rFonts w:ascii="Arial" w:hAnsi="Arial" w:cs="Arial"/>
        </w:rPr>
        <w:t xml:space="preserve">Petabytes of </w:t>
      </w:r>
      <w:r w:rsidR="007A4BF5">
        <w:rPr>
          <w:rFonts w:ascii="Arial" w:hAnsi="Arial" w:cs="Arial"/>
        </w:rPr>
        <w:t>high-performance</w:t>
      </w:r>
      <w:r w:rsidR="0041660C" w:rsidRPr="00092AC9">
        <w:rPr>
          <w:rFonts w:ascii="Arial" w:hAnsi="Arial" w:cs="Arial"/>
        </w:rPr>
        <w:t xml:space="preserve"> parallel storage (</w:t>
      </w:r>
      <w:proofErr w:type="spellStart"/>
      <w:r w:rsidR="0041660C" w:rsidRPr="00092AC9">
        <w:rPr>
          <w:rFonts w:ascii="Arial" w:hAnsi="Arial" w:cs="Arial"/>
        </w:rPr>
        <w:t>Panasas</w:t>
      </w:r>
      <w:proofErr w:type="spellEnd"/>
      <w:r w:rsidR="0041660C" w:rsidRPr="00092AC9">
        <w:rPr>
          <w:rFonts w:ascii="Arial" w:hAnsi="Arial" w:cs="Arial"/>
        </w:rPr>
        <w:t xml:space="preserve"> Inc.</w:t>
      </w:r>
      <w:r w:rsidR="00722D4A" w:rsidRPr="00092AC9">
        <w:rPr>
          <w:rFonts w:ascii="Arial" w:hAnsi="Arial" w:cs="Arial"/>
        </w:rPr>
        <w:t>; Hitachi Data Systems</w:t>
      </w:r>
      <w:r w:rsidR="0041660C" w:rsidRPr="00092AC9">
        <w:rPr>
          <w:rFonts w:ascii="Arial" w:hAnsi="Arial" w:cs="Arial"/>
        </w:rPr>
        <w:t xml:space="preserve">); it runs a Linux operating system. All machines are connected via gigabit Ethernet. Hardware and software support for the HPC is provided by ITS and is housed in a secure, card-key controlled, state-of-the-art machine room at Yale’s West Campus facility.  The components are installed in an APC modular pod that provides power, targeted in-line cooling, and fire suppression.  </w:t>
      </w:r>
      <w:r w:rsidR="007A4BF5">
        <w:rPr>
          <w:rFonts w:ascii="Arial" w:hAnsi="Arial" w:cs="Arial"/>
        </w:rPr>
        <w:t>ITS is installing a tape archival service to use the high-performance storage efficiently while</w:t>
      </w:r>
      <w:r w:rsidR="0041660C" w:rsidRPr="00092AC9">
        <w:rPr>
          <w:rFonts w:ascii="Arial" w:hAnsi="Arial" w:cs="Arial"/>
        </w:rPr>
        <w:t xml:space="preserve"> ensuring all data is adequately backed up.  The cluster has redundant login nodes (two nodes with failover) </w:t>
      </w:r>
      <w:r w:rsidR="00CB2C6A" w:rsidRPr="00092AC9">
        <w:rPr>
          <w:rFonts w:ascii="Arial" w:hAnsi="Arial" w:cs="Arial"/>
        </w:rPr>
        <w:t>and</w:t>
      </w:r>
      <w:r w:rsidR="0041660C" w:rsidRPr="00092AC9">
        <w:rPr>
          <w:rFonts w:ascii="Arial" w:hAnsi="Arial" w:cs="Arial"/>
        </w:rPr>
        <w:t xml:space="preserve"> </w:t>
      </w:r>
      <w:r w:rsidR="007A4BF5">
        <w:rPr>
          <w:rFonts w:ascii="Arial" w:hAnsi="Arial" w:cs="Arial"/>
        </w:rPr>
        <w:t>uses</w:t>
      </w:r>
      <w:r w:rsidR="0041660C" w:rsidRPr="00092AC9">
        <w:rPr>
          <w:rFonts w:ascii="Arial" w:hAnsi="Arial" w:cs="Arial"/>
        </w:rPr>
        <w:t xml:space="preserve"> virtual machines as login hosts, all designed to prevent access to the cluster by rogue user processes.  </w:t>
      </w:r>
      <w:r w:rsidR="007A4BF5">
        <w:rPr>
          <w:rFonts w:ascii="Arial" w:hAnsi="Arial" w:cs="Arial"/>
        </w:rPr>
        <w:t>Industry-standard</w:t>
      </w:r>
      <w:r w:rsidR="0041660C" w:rsidRPr="00092AC9">
        <w:rPr>
          <w:rFonts w:ascii="Arial" w:hAnsi="Arial" w:cs="Arial"/>
        </w:rPr>
        <w:t xml:space="preserve"> cluster management techniques and software packages are used to maintain and control the cluster.  The nodes run CentOS, an </w:t>
      </w:r>
      <w:r w:rsidR="007A4BF5">
        <w:rPr>
          <w:rFonts w:ascii="Arial" w:hAnsi="Arial" w:cs="Arial"/>
        </w:rPr>
        <w:t>open-source</w:t>
      </w:r>
      <w:r w:rsidR="0041660C" w:rsidRPr="00092AC9">
        <w:rPr>
          <w:rFonts w:ascii="Arial" w:hAnsi="Arial" w:cs="Arial"/>
        </w:rPr>
        <w:t xml:space="preserve"> version of Linux.  Node operating systems are provisioned using Rocks.  Individual users are scheduled onto nodes using Maui Torque, a batch queuing system.  Nagios and Ganglia are used to monitor the state of the cluster 24x7. The sequencers at YCGA communicate with the HPC cluster via a dedicated fiber link between a Force 10 switch on the cluster and an HP </w:t>
      </w:r>
      <w:proofErr w:type="spellStart"/>
      <w:r w:rsidR="0041660C" w:rsidRPr="00092AC9">
        <w:rPr>
          <w:rFonts w:ascii="Arial" w:hAnsi="Arial" w:cs="Arial"/>
        </w:rPr>
        <w:t>Proliant</w:t>
      </w:r>
      <w:proofErr w:type="spellEnd"/>
      <w:r w:rsidR="0041660C" w:rsidRPr="00092AC9">
        <w:rPr>
          <w:rFonts w:ascii="Arial" w:hAnsi="Arial" w:cs="Arial"/>
        </w:rPr>
        <w:t xml:space="preserve"> switch in the sequencing center building.   This effectively links the two facilities into a single </w:t>
      </w:r>
      <w:r w:rsidR="00CB2C6A" w:rsidRPr="00092AC9">
        <w:rPr>
          <w:rFonts w:ascii="Arial" w:hAnsi="Arial" w:cs="Arial"/>
        </w:rPr>
        <w:t>high-speed</w:t>
      </w:r>
      <w:r w:rsidR="0041660C" w:rsidRPr="00092AC9">
        <w:rPr>
          <w:rFonts w:ascii="Arial" w:hAnsi="Arial" w:cs="Arial"/>
        </w:rPr>
        <w:t xml:space="preserve"> network (1 Gigabit/sec, with 10 GB links to the </w:t>
      </w:r>
      <w:proofErr w:type="spellStart"/>
      <w:r w:rsidR="0041660C" w:rsidRPr="00092AC9">
        <w:rPr>
          <w:rFonts w:ascii="Arial" w:hAnsi="Arial" w:cs="Arial"/>
        </w:rPr>
        <w:t>Panasas</w:t>
      </w:r>
      <w:proofErr w:type="spellEnd"/>
      <w:r w:rsidR="0041660C" w:rsidRPr="00092AC9">
        <w:rPr>
          <w:rFonts w:ascii="Arial" w:hAnsi="Arial" w:cs="Arial"/>
        </w:rPr>
        <w:t xml:space="preserve"> storage units).  The entire facility sits behind a firewall that only allows </w:t>
      </w:r>
      <w:r w:rsidR="007A4BF5">
        <w:rPr>
          <w:rFonts w:ascii="Arial" w:hAnsi="Arial" w:cs="Arial"/>
        </w:rPr>
        <w:t>SSH-authenticated</w:t>
      </w:r>
      <w:r w:rsidR="0041660C" w:rsidRPr="00092AC9">
        <w:rPr>
          <w:rFonts w:ascii="Arial" w:hAnsi="Arial" w:cs="Arial"/>
        </w:rPr>
        <w:t xml:space="preserve"> access by users. Two Ph.D. computer </w:t>
      </w:r>
      <w:r w:rsidR="007A4BF5">
        <w:rPr>
          <w:rFonts w:ascii="Arial" w:hAnsi="Arial" w:cs="Arial"/>
        </w:rPr>
        <w:t>scientists</w:t>
      </w:r>
      <w:r w:rsidR="0041660C" w:rsidRPr="00092AC9">
        <w:rPr>
          <w:rFonts w:ascii="Arial" w:hAnsi="Arial" w:cs="Arial"/>
        </w:rPr>
        <w:t xml:space="preserve"> and </w:t>
      </w:r>
      <w:r w:rsidR="007A4BF5">
        <w:rPr>
          <w:rFonts w:ascii="Arial" w:hAnsi="Arial" w:cs="Arial"/>
        </w:rPr>
        <w:t>four</w:t>
      </w:r>
      <w:r w:rsidR="0041660C" w:rsidRPr="00092AC9">
        <w:rPr>
          <w:rFonts w:ascii="Arial" w:hAnsi="Arial" w:cs="Arial"/>
        </w:rPr>
        <w:t xml:space="preserve"> </w:t>
      </w:r>
      <w:r w:rsidR="00A418D2" w:rsidRPr="00092AC9">
        <w:rPr>
          <w:rFonts w:ascii="Arial" w:hAnsi="Arial" w:cs="Arial"/>
        </w:rPr>
        <w:t xml:space="preserve">system administrator </w:t>
      </w:r>
      <w:r w:rsidR="0041660C" w:rsidRPr="00092AC9">
        <w:rPr>
          <w:rFonts w:ascii="Arial" w:hAnsi="Arial" w:cs="Arial"/>
        </w:rPr>
        <w:t>staff from Yale ITS oversee the operation management of HPC.</w:t>
      </w:r>
      <w:r w:rsidR="00E122DF" w:rsidRPr="00092AC9">
        <w:rPr>
          <w:rFonts w:ascii="Arial" w:hAnsi="Arial" w:cs="Arial"/>
        </w:rPr>
        <w:t xml:space="preserve"> </w:t>
      </w:r>
      <w:r w:rsidR="007A4BF5">
        <w:rPr>
          <w:rFonts w:ascii="Arial" w:hAnsi="Arial" w:cs="Arial"/>
        </w:rPr>
        <w:t>Several</w:t>
      </w:r>
      <w:r w:rsidR="00BF21E1" w:rsidRPr="00092AC9">
        <w:rPr>
          <w:rFonts w:ascii="Arial" w:hAnsi="Arial" w:cs="Arial"/>
        </w:rPr>
        <w:t xml:space="preserve"> useful packages are installed on both clusters, including LAM </w:t>
      </w:r>
      <w:proofErr w:type="spellStart"/>
      <w:r w:rsidR="00BF21E1" w:rsidRPr="00092AC9">
        <w:rPr>
          <w:rFonts w:ascii="Arial" w:hAnsi="Arial" w:cs="Arial"/>
        </w:rPr>
        <w:t>mpi</w:t>
      </w:r>
      <w:proofErr w:type="spellEnd"/>
      <w:r w:rsidR="00BF21E1" w:rsidRPr="00092AC9">
        <w:rPr>
          <w:rFonts w:ascii="Arial" w:hAnsi="Arial" w:cs="Arial"/>
        </w:rPr>
        <w:t xml:space="preserve">, </w:t>
      </w:r>
      <w:proofErr w:type="spellStart"/>
      <w:r w:rsidR="00BF21E1" w:rsidRPr="00092AC9">
        <w:rPr>
          <w:rFonts w:ascii="Arial" w:hAnsi="Arial" w:cs="Arial"/>
        </w:rPr>
        <w:t>mpich</w:t>
      </w:r>
      <w:proofErr w:type="spellEnd"/>
      <w:r w:rsidR="00BF21E1" w:rsidRPr="00092AC9">
        <w:rPr>
          <w:rFonts w:ascii="Arial" w:hAnsi="Arial" w:cs="Arial"/>
        </w:rPr>
        <w:t>, R, java, Intel</w:t>
      </w:r>
      <w:r w:rsidR="007A4BF5">
        <w:rPr>
          <w:rFonts w:ascii="Arial" w:hAnsi="Arial" w:cs="Arial"/>
        </w:rPr>
        <w:t>,</w:t>
      </w:r>
      <w:r w:rsidR="00BF21E1" w:rsidRPr="00092AC9">
        <w:rPr>
          <w:rFonts w:ascii="Arial" w:hAnsi="Arial" w:cs="Arial"/>
        </w:rPr>
        <w:t xml:space="preserve"> and PGI compilers. </w:t>
      </w:r>
    </w:p>
    <w:p w14:paraId="15D8B0B6" w14:textId="77777777" w:rsidR="00E122DF" w:rsidRPr="00092AC9" w:rsidRDefault="00E122DF" w:rsidP="007E0331">
      <w:pPr>
        <w:pStyle w:val="NoSpacing"/>
        <w:jc w:val="both"/>
        <w:rPr>
          <w:rFonts w:ascii="Arial" w:hAnsi="Arial" w:cs="Arial"/>
        </w:rPr>
      </w:pPr>
    </w:p>
    <w:p w14:paraId="34FFFD14" w14:textId="6162F575" w:rsidR="0035386B" w:rsidRPr="00092AC9" w:rsidRDefault="00CC00FB" w:rsidP="007E0331">
      <w:pPr>
        <w:pStyle w:val="NoSpacing"/>
        <w:jc w:val="both"/>
        <w:rPr>
          <w:rFonts w:ascii="Arial" w:eastAsia="Times New Roman" w:hAnsi="Arial" w:cs="Arial"/>
        </w:rPr>
      </w:pPr>
      <w:r w:rsidRPr="00092AC9">
        <w:rPr>
          <w:rFonts w:ascii="Arial" w:hAnsi="Arial" w:cs="Arial"/>
          <w:u w:val="single"/>
        </w:rPr>
        <w:t>YCGA staff</w:t>
      </w:r>
      <w:r w:rsidRPr="00092AC9">
        <w:rPr>
          <w:rFonts w:ascii="Arial" w:hAnsi="Arial" w:cs="Arial"/>
        </w:rPr>
        <w:t xml:space="preserve">:  </w:t>
      </w:r>
      <w:r w:rsidR="0035386B" w:rsidRPr="00092AC9">
        <w:rPr>
          <w:rFonts w:ascii="Arial" w:eastAsia="Times New Roman" w:hAnsi="Arial" w:cs="Arial"/>
        </w:rPr>
        <w:t xml:space="preserve">The YCGA has </w:t>
      </w:r>
      <w:r w:rsidR="00FC61B5" w:rsidRPr="00092AC9">
        <w:rPr>
          <w:rFonts w:ascii="Arial" w:eastAsia="Times New Roman" w:hAnsi="Arial" w:cs="Arial"/>
        </w:rPr>
        <w:t>3</w:t>
      </w:r>
      <w:r w:rsidR="00CD6182" w:rsidRPr="00092AC9">
        <w:rPr>
          <w:rFonts w:ascii="Arial" w:eastAsia="Times New Roman" w:hAnsi="Arial" w:cs="Arial"/>
        </w:rPr>
        <w:t>4</w:t>
      </w:r>
      <w:r w:rsidR="0035386B" w:rsidRPr="00092AC9">
        <w:rPr>
          <w:rFonts w:ascii="Arial" w:eastAsia="Times New Roman" w:hAnsi="Arial" w:cs="Arial"/>
        </w:rPr>
        <w:t xml:space="preserve"> staff </w:t>
      </w:r>
      <w:r w:rsidR="007A4BF5">
        <w:rPr>
          <w:rFonts w:ascii="Arial" w:eastAsia="Times New Roman" w:hAnsi="Arial" w:cs="Arial"/>
        </w:rPr>
        <w:t>members highly trained in high-throughput sequencing, HPC,</w:t>
      </w:r>
      <w:r w:rsidR="0035386B" w:rsidRPr="00092AC9">
        <w:rPr>
          <w:rFonts w:ascii="Arial" w:eastAsia="Times New Roman" w:hAnsi="Arial" w:cs="Arial"/>
        </w:rPr>
        <w:t xml:space="preserve"> and data analysis.  This includes </w:t>
      </w:r>
      <w:r w:rsidR="00CD6182" w:rsidRPr="00092AC9">
        <w:rPr>
          <w:rFonts w:ascii="Arial" w:eastAsia="Times New Roman" w:hAnsi="Arial" w:cs="Arial"/>
        </w:rPr>
        <w:t>13</w:t>
      </w:r>
      <w:r w:rsidR="0035386B" w:rsidRPr="00092AC9">
        <w:rPr>
          <w:rFonts w:ascii="Arial" w:eastAsia="Times New Roman" w:hAnsi="Arial" w:cs="Arial"/>
        </w:rPr>
        <w:t xml:space="preserve"> Ph.D.</w:t>
      </w:r>
      <w:r w:rsidR="00FC61B5" w:rsidRPr="00092AC9">
        <w:rPr>
          <w:rFonts w:ascii="Arial" w:eastAsia="Times New Roman" w:hAnsi="Arial" w:cs="Arial"/>
        </w:rPr>
        <w:t xml:space="preserve"> </w:t>
      </w:r>
      <w:r w:rsidR="0035386B" w:rsidRPr="00092AC9">
        <w:rPr>
          <w:rFonts w:ascii="Arial" w:eastAsia="Times New Roman" w:hAnsi="Arial" w:cs="Arial"/>
        </w:rPr>
        <w:t xml:space="preserve">and </w:t>
      </w:r>
      <w:r w:rsidR="00CD6182" w:rsidRPr="00092AC9">
        <w:rPr>
          <w:rFonts w:ascii="Arial" w:eastAsia="Times New Roman" w:hAnsi="Arial" w:cs="Arial"/>
        </w:rPr>
        <w:t>six</w:t>
      </w:r>
      <w:r w:rsidR="0035386B" w:rsidRPr="00092AC9">
        <w:rPr>
          <w:rFonts w:ascii="Arial" w:eastAsia="Times New Roman" w:hAnsi="Arial" w:cs="Arial"/>
        </w:rPr>
        <w:t xml:space="preserve"> </w:t>
      </w:r>
      <w:r w:rsidR="007A4BF5">
        <w:rPr>
          <w:rFonts w:ascii="Arial" w:eastAsia="Times New Roman" w:hAnsi="Arial" w:cs="Arial"/>
        </w:rPr>
        <w:t>MS-level</w:t>
      </w:r>
      <w:r w:rsidR="0035386B" w:rsidRPr="00092AC9">
        <w:rPr>
          <w:rFonts w:ascii="Arial" w:eastAsia="Times New Roman" w:hAnsi="Arial" w:cs="Arial"/>
        </w:rPr>
        <w:t xml:space="preserve"> staff. The day-to-day operation is overseen by Dr. </w:t>
      </w:r>
      <w:r w:rsidR="0026169F" w:rsidRPr="00092AC9">
        <w:rPr>
          <w:rFonts w:ascii="Arial" w:eastAsia="Times New Roman" w:hAnsi="Arial" w:cs="Arial"/>
        </w:rPr>
        <w:t>Bony Kumar</w:t>
      </w:r>
      <w:r w:rsidR="0035386B" w:rsidRPr="00092AC9">
        <w:rPr>
          <w:rFonts w:ascii="Arial" w:eastAsia="Times New Roman" w:hAnsi="Arial" w:cs="Arial"/>
        </w:rPr>
        <w:t xml:space="preserve">, </w:t>
      </w:r>
      <w:r w:rsidR="007A4BF5">
        <w:rPr>
          <w:rFonts w:ascii="Arial" w:eastAsia="Times New Roman" w:hAnsi="Arial" w:cs="Arial"/>
        </w:rPr>
        <w:t>who has</w:t>
      </w:r>
      <w:r w:rsidR="0035386B" w:rsidRPr="00092AC9">
        <w:rPr>
          <w:rFonts w:ascii="Arial" w:eastAsia="Times New Roman" w:hAnsi="Arial" w:cs="Arial"/>
        </w:rPr>
        <w:t xml:space="preserve"> more than 15 years of experience in molecular genetics technologies and analysis.  He </w:t>
      </w:r>
      <w:r w:rsidR="007A4BF5">
        <w:rPr>
          <w:rFonts w:ascii="Arial" w:eastAsia="Times New Roman" w:hAnsi="Arial" w:cs="Arial"/>
        </w:rPr>
        <w:t>leads</w:t>
      </w:r>
      <w:r w:rsidR="0035386B" w:rsidRPr="00092AC9">
        <w:rPr>
          <w:rFonts w:ascii="Arial" w:eastAsia="Times New Roman" w:hAnsi="Arial" w:cs="Arial"/>
        </w:rPr>
        <w:t xml:space="preserve"> nine scientists involved in sequence production. </w:t>
      </w:r>
      <w:r w:rsidR="007A4BF5">
        <w:rPr>
          <w:rFonts w:ascii="Arial" w:eastAsia="Times New Roman" w:hAnsi="Arial" w:cs="Arial"/>
        </w:rPr>
        <w:t>Four systems administrators maintain the IT infrastructure</w:t>
      </w:r>
      <w:r w:rsidR="0035386B" w:rsidRPr="00092AC9">
        <w:rPr>
          <w:rFonts w:ascii="Arial" w:eastAsia="Times New Roman" w:hAnsi="Arial" w:cs="Arial"/>
        </w:rPr>
        <w:t>.  It is overseen by Rob Bjornson, Ph.D.</w:t>
      </w:r>
      <w:r w:rsidR="007A4BF5">
        <w:rPr>
          <w:rFonts w:ascii="Arial" w:eastAsia="Times New Roman" w:hAnsi="Arial" w:cs="Arial"/>
        </w:rPr>
        <w:t>, and Jason Ignatius, M.S.,</w:t>
      </w:r>
      <w:r w:rsidR="0035386B" w:rsidRPr="00092AC9">
        <w:rPr>
          <w:rFonts w:ascii="Arial" w:eastAsia="Times New Roman" w:hAnsi="Arial" w:cs="Arial"/>
        </w:rPr>
        <w:t xml:space="preserve"> who </w:t>
      </w:r>
      <w:r w:rsidR="007A4BF5">
        <w:rPr>
          <w:rFonts w:ascii="Arial" w:eastAsia="Times New Roman" w:hAnsi="Arial" w:cs="Arial"/>
        </w:rPr>
        <w:t>have extensive parallel computing experience</w:t>
      </w:r>
      <w:r w:rsidR="0035386B" w:rsidRPr="00092AC9">
        <w:rPr>
          <w:rFonts w:ascii="Arial" w:eastAsia="Times New Roman" w:hAnsi="Arial" w:cs="Arial"/>
        </w:rPr>
        <w:t xml:space="preserve">.  </w:t>
      </w:r>
      <w:r w:rsidR="007A4BF5">
        <w:rPr>
          <w:rFonts w:ascii="Arial" w:eastAsia="Times New Roman" w:hAnsi="Arial" w:cs="Arial"/>
        </w:rPr>
        <w:t>Eight Ph.D. scientists provide the bioinformatics support</w:t>
      </w:r>
      <w:r w:rsidR="0035386B" w:rsidRPr="00092AC9">
        <w:rPr>
          <w:rFonts w:ascii="Arial" w:eastAsia="Times New Roman" w:hAnsi="Arial" w:cs="Arial"/>
        </w:rPr>
        <w:t xml:space="preserve">.  </w:t>
      </w:r>
    </w:p>
    <w:p w14:paraId="5B9CAAA2" w14:textId="77777777" w:rsidR="00691883" w:rsidRPr="00092AC9" w:rsidRDefault="00691883" w:rsidP="007E0331">
      <w:pPr>
        <w:pStyle w:val="NormalWeb"/>
        <w:spacing w:before="0" w:beforeAutospacing="0" w:after="0" w:afterAutospacing="0"/>
        <w:jc w:val="both"/>
        <w:rPr>
          <w:rFonts w:ascii="Arial" w:eastAsia="Times New Roman" w:hAnsi="Arial" w:cs="Arial"/>
          <w:sz w:val="22"/>
          <w:szCs w:val="22"/>
          <w:u w:val="single"/>
        </w:rPr>
      </w:pPr>
    </w:p>
    <w:p w14:paraId="244AE803" w14:textId="27781502" w:rsidR="00691883" w:rsidRPr="00092AC9" w:rsidRDefault="00691883" w:rsidP="007E0331">
      <w:pPr>
        <w:pStyle w:val="NormalWeb"/>
        <w:spacing w:before="0" w:beforeAutospacing="0" w:after="0" w:afterAutospacing="0"/>
        <w:jc w:val="both"/>
        <w:rPr>
          <w:rFonts w:ascii="Arial" w:hAnsi="Arial" w:cs="Arial"/>
          <w:sz w:val="22"/>
          <w:szCs w:val="22"/>
        </w:rPr>
      </w:pPr>
      <w:r w:rsidRPr="00092AC9">
        <w:rPr>
          <w:rFonts w:ascii="Arial" w:eastAsia="Times New Roman" w:hAnsi="Arial" w:cs="Arial"/>
          <w:sz w:val="22"/>
          <w:szCs w:val="22"/>
          <w:u w:val="single"/>
        </w:rPr>
        <w:lastRenderedPageBreak/>
        <w:t>Bioinformatics</w:t>
      </w:r>
      <w:r w:rsidRPr="00092AC9">
        <w:rPr>
          <w:rFonts w:ascii="Arial" w:eastAsia="Times New Roman" w:hAnsi="Arial" w:cs="Arial"/>
          <w:sz w:val="22"/>
          <w:szCs w:val="22"/>
        </w:rPr>
        <w:t xml:space="preserve">: The bioinformatics support for </w:t>
      </w:r>
      <w:r w:rsidR="007A4BF5">
        <w:rPr>
          <w:rFonts w:ascii="Arial" w:eastAsia="Times New Roman" w:hAnsi="Arial" w:cs="Arial"/>
          <w:sz w:val="22"/>
          <w:szCs w:val="22"/>
        </w:rPr>
        <w:t>analyzing</w:t>
      </w:r>
      <w:r w:rsidRPr="00092AC9">
        <w:rPr>
          <w:rFonts w:ascii="Arial" w:eastAsia="Times New Roman" w:hAnsi="Arial" w:cs="Arial"/>
          <w:sz w:val="22"/>
          <w:szCs w:val="22"/>
        </w:rPr>
        <w:t xml:space="preserve"> sequence data generated at YCGA is provided by </w:t>
      </w:r>
      <w:r w:rsidR="002D15F4" w:rsidRPr="00092AC9">
        <w:rPr>
          <w:rFonts w:ascii="Arial" w:eastAsia="Times New Roman" w:hAnsi="Arial" w:cs="Arial"/>
          <w:sz w:val="22"/>
          <w:szCs w:val="22"/>
        </w:rPr>
        <w:t>eight</w:t>
      </w:r>
      <w:r w:rsidRPr="00092AC9">
        <w:rPr>
          <w:rFonts w:ascii="Arial" w:eastAsia="Times New Roman" w:hAnsi="Arial" w:cs="Arial"/>
          <w:sz w:val="22"/>
          <w:szCs w:val="22"/>
        </w:rPr>
        <w:t xml:space="preserve"> Ph.D. scientists. </w:t>
      </w:r>
      <w:r w:rsidRPr="00092AC9">
        <w:rPr>
          <w:rFonts w:ascii="Arial" w:hAnsi="Arial" w:cs="Arial"/>
          <w:sz w:val="22"/>
          <w:szCs w:val="22"/>
        </w:rPr>
        <w:t xml:space="preserve">The bioinformatics staff has extensive experience developing new programs </w:t>
      </w:r>
      <w:r w:rsidR="007A4BF5">
        <w:rPr>
          <w:rFonts w:ascii="Arial" w:hAnsi="Arial" w:cs="Arial"/>
          <w:sz w:val="22"/>
          <w:szCs w:val="22"/>
        </w:rPr>
        <w:t>to study</w:t>
      </w:r>
      <w:r w:rsidRPr="00092AC9">
        <w:rPr>
          <w:rFonts w:ascii="Arial" w:hAnsi="Arial" w:cs="Arial"/>
          <w:sz w:val="22"/>
          <w:szCs w:val="22"/>
        </w:rPr>
        <w:t xml:space="preserve"> data generated by </w:t>
      </w:r>
      <w:r w:rsidR="007A4BF5">
        <w:rPr>
          <w:rFonts w:ascii="Arial" w:hAnsi="Arial" w:cs="Arial"/>
          <w:sz w:val="22"/>
          <w:szCs w:val="22"/>
        </w:rPr>
        <w:t>next-generation sequencing platforms. It conducts high-level analyses and develops</w:t>
      </w:r>
      <w:r w:rsidRPr="00092AC9">
        <w:rPr>
          <w:rFonts w:ascii="Arial" w:hAnsi="Arial" w:cs="Arial"/>
          <w:sz w:val="22"/>
          <w:szCs w:val="22"/>
        </w:rPr>
        <w:t xml:space="preserve"> new algorithms and data analysis tools. They work closely with the HPC team to manage data storage and develop analysis pipelines. They also </w:t>
      </w:r>
      <w:r w:rsidR="007A4BF5">
        <w:rPr>
          <w:rFonts w:ascii="Arial" w:hAnsi="Arial" w:cs="Arial"/>
          <w:sz w:val="22"/>
          <w:szCs w:val="22"/>
        </w:rPr>
        <w:t>guide</w:t>
      </w:r>
      <w:r w:rsidRPr="00092AC9">
        <w:rPr>
          <w:rFonts w:ascii="Arial" w:hAnsi="Arial" w:cs="Arial"/>
          <w:sz w:val="22"/>
          <w:szCs w:val="22"/>
        </w:rPr>
        <w:t xml:space="preserve"> other bioinformatics staff working in individual laboratories. </w:t>
      </w:r>
    </w:p>
    <w:p w14:paraId="68B388CA" w14:textId="77777777" w:rsidR="0063132D" w:rsidRPr="00092AC9" w:rsidRDefault="0063132D" w:rsidP="007E0331">
      <w:pPr>
        <w:pStyle w:val="NormalWeb"/>
        <w:spacing w:before="0" w:beforeAutospacing="0" w:after="0" w:afterAutospacing="0"/>
        <w:jc w:val="both"/>
        <w:rPr>
          <w:rFonts w:ascii="Arial" w:hAnsi="Arial" w:cs="Arial"/>
          <w:sz w:val="22"/>
          <w:szCs w:val="22"/>
          <w:u w:val="single"/>
        </w:rPr>
      </w:pPr>
    </w:p>
    <w:p w14:paraId="4A939515" w14:textId="538178C2" w:rsidR="00CB2C6A" w:rsidRPr="00092AC9" w:rsidRDefault="0063132D" w:rsidP="007E0331">
      <w:pPr>
        <w:pStyle w:val="NoSpacing"/>
        <w:jc w:val="both"/>
        <w:rPr>
          <w:rFonts w:ascii="Arial" w:hAnsi="Arial" w:cs="Arial"/>
          <w:u w:val="single"/>
        </w:rPr>
      </w:pPr>
      <w:r w:rsidRPr="00092AC9">
        <w:rPr>
          <w:rFonts w:ascii="Arial" w:hAnsi="Arial" w:cs="Arial"/>
          <w:u w:val="single"/>
        </w:rPr>
        <w:t>Services provided by YCGA</w:t>
      </w:r>
      <w:r w:rsidRPr="00092AC9">
        <w:rPr>
          <w:rFonts w:ascii="Arial" w:hAnsi="Arial" w:cs="Arial"/>
        </w:rPr>
        <w:t>: YCGA supports diverse sequencing applications</w:t>
      </w:r>
      <w:r w:rsidR="007A4BF5">
        <w:rPr>
          <w:rFonts w:ascii="Arial" w:hAnsi="Arial" w:cs="Arial"/>
        </w:rPr>
        <w:t xml:space="preserve">, including Whole-exome (WES), whole-genome (WGS), targeted sequencing, mRNA-Seq, </w:t>
      </w:r>
      <w:proofErr w:type="spellStart"/>
      <w:r w:rsidR="007A4BF5">
        <w:rPr>
          <w:rFonts w:ascii="Arial" w:hAnsi="Arial" w:cs="Arial"/>
        </w:rPr>
        <w:t>ChIP</w:t>
      </w:r>
      <w:proofErr w:type="spellEnd"/>
      <w:r w:rsidR="007A4BF5">
        <w:rPr>
          <w:rFonts w:ascii="Arial" w:hAnsi="Arial" w:cs="Arial"/>
        </w:rPr>
        <w:t>-Seq, methyl-Seq, microRNA-Seq,</w:t>
      </w:r>
      <w:r w:rsidRPr="00092AC9">
        <w:rPr>
          <w:rFonts w:ascii="Arial" w:hAnsi="Arial" w:cs="Arial"/>
          <w:bCs/>
        </w:rPr>
        <w:t xml:space="preserve"> and</w:t>
      </w:r>
      <w:r w:rsidRPr="00092AC9">
        <w:rPr>
          <w:rFonts w:ascii="Arial" w:hAnsi="Arial" w:cs="Arial"/>
        </w:rPr>
        <w:t xml:space="preserve"> de novo genome sequencing. </w:t>
      </w:r>
      <w:r w:rsidR="00DD6815" w:rsidRPr="00092AC9">
        <w:rPr>
          <w:rFonts w:ascii="Arial" w:hAnsi="Arial" w:cs="Arial"/>
        </w:rPr>
        <w:t xml:space="preserve">YCGA </w:t>
      </w:r>
      <w:r w:rsidR="007A4BF5">
        <w:rPr>
          <w:rFonts w:ascii="Arial" w:hAnsi="Arial" w:cs="Arial"/>
        </w:rPr>
        <w:t>also provides</w:t>
      </w:r>
      <w:r w:rsidR="00DD6815" w:rsidRPr="00092AC9">
        <w:rPr>
          <w:rFonts w:ascii="Arial" w:hAnsi="Arial" w:cs="Arial"/>
        </w:rPr>
        <w:t xml:space="preserve"> library preparation and sequencing services for CUT &amp; Tag, </w:t>
      </w:r>
      <w:proofErr w:type="spellStart"/>
      <w:r w:rsidR="00DD6815" w:rsidRPr="00092AC9">
        <w:rPr>
          <w:rFonts w:ascii="Arial" w:hAnsi="Arial" w:cs="Arial"/>
        </w:rPr>
        <w:t>HiC</w:t>
      </w:r>
      <w:proofErr w:type="spellEnd"/>
      <w:r w:rsidR="007A4BF5">
        <w:rPr>
          <w:rFonts w:ascii="Arial" w:hAnsi="Arial" w:cs="Arial"/>
        </w:rPr>
        <w:t>,</w:t>
      </w:r>
      <w:r w:rsidR="00DD6815" w:rsidRPr="00092AC9">
        <w:rPr>
          <w:rFonts w:ascii="Arial" w:hAnsi="Arial" w:cs="Arial"/>
        </w:rPr>
        <w:t xml:space="preserve"> and ATAC-Seq.</w:t>
      </w:r>
      <w:r w:rsidRPr="00092AC9">
        <w:rPr>
          <w:rFonts w:ascii="Arial" w:hAnsi="Arial" w:cs="Arial"/>
        </w:rPr>
        <w:t xml:space="preserve"> </w:t>
      </w:r>
      <w:r w:rsidR="00DD6815" w:rsidRPr="00092AC9">
        <w:rPr>
          <w:rFonts w:ascii="Arial" w:hAnsi="Arial" w:cs="Arial"/>
        </w:rPr>
        <w:t xml:space="preserve"> YCGA </w:t>
      </w:r>
      <w:r w:rsidR="007A4BF5">
        <w:rPr>
          <w:rFonts w:ascii="Arial" w:hAnsi="Arial" w:cs="Arial"/>
        </w:rPr>
        <w:t>supports</w:t>
      </w:r>
      <w:r w:rsidR="00DD6815" w:rsidRPr="00092AC9">
        <w:rPr>
          <w:rFonts w:ascii="Arial" w:hAnsi="Arial" w:cs="Arial"/>
        </w:rPr>
        <w:t xml:space="preserve"> SNP validation and genotyping </w:t>
      </w:r>
      <w:r w:rsidR="007A4BF5">
        <w:rPr>
          <w:rFonts w:ascii="Arial" w:hAnsi="Arial" w:cs="Arial"/>
        </w:rPr>
        <w:t>services</w:t>
      </w:r>
      <w:r w:rsidR="00DD6815" w:rsidRPr="00092AC9">
        <w:rPr>
          <w:rFonts w:ascii="Arial" w:hAnsi="Arial" w:cs="Arial"/>
        </w:rPr>
        <w:t xml:space="preserve"> using </w:t>
      </w:r>
      <w:r w:rsidR="007A4BF5">
        <w:rPr>
          <w:rFonts w:ascii="Arial" w:hAnsi="Arial" w:cs="Arial"/>
        </w:rPr>
        <w:t>droplet</w:t>
      </w:r>
      <w:r w:rsidR="00DD6815" w:rsidRPr="00092AC9">
        <w:rPr>
          <w:rFonts w:ascii="Arial" w:hAnsi="Arial" w:cs="Arial"/>
        </w:rPr>
        <w:t xml:space="preserve"> PCR and NGS platforms. </w:t>
      </w:r>
      <w:r w:rsidRPr="00092AC9">
        <w:rPr>
          <w:rFonts w:ascii="Arial" w:hAnsi="Arial" w:cs="Arial"/>
        </w:rPr>
        <w:t xml:space="preserve">It provides microarray </w:t>
      </w:r>
      <w:r w:rsidR="009B7EAD" w:rsidRPr="00092AC9">
        <w:rPr>
          <w:rFonts w:ascii="Arial" w:hAnsi="Arial" w:cs="Arial"/>
        </w:rPr>
        <w:t>genotyping,</w:t>
      </w:r>
      <w:r w:rsidRPr="00092AC9">
        <w:rPr>
          <w:rFonts w:ascii="Arial" w:hAnsi="Arial" w:cs="Arial"/>
        </w:rPr>
        <w:t xml:space="preserve"> </w:t>
      </w:r>
      <w:r w:rsidR="009B7EAD" w:rsidRPr="00092AC9">
        <w:rPr>
          <w:rFonts w:ascii="Arial" w:hAnsi="Arial" w:cs="Arial"/>
        </w:rPr>
        <w:t>expression</w:t>
      </w:r>
      <w:r w:rsidR="007A4BF5">
        <w:rPr>
          <w:rFonts w:ascii="Arial" w:hAnsi="Arial" w:cs="Arial"/>
        </w:rPr>
        <w:t>,</w:t>
      </w:r>
      <w:r w:rsidRPr="00092AC9">
        <w:rPr>
          <w:rFonts w:ascii="Arial" w:hAnsi="Arial" w:cs="Arial"/>
        </w:rPr>
        <w:t xml:space="preserve"> and methylation analysis using </w:t>
      </w:r>
      <w:r w:rsidR="009B7EAD" w:rsidRPr="00092AC9">
        <w:rPr>
          <w:rFonts w:ascii="Arial" w:hAnsi="Arial" w:cs="Arial"/>
        </w:rPr>
        <w:t>Affymetrix</w:t>
      </w:r>
      <w:r w:rsidRPr="00092AC9">
        <w:rPr>
          <w:rFonts w:ascii="Arial" w:hAnsi="Arial" w:cs="Arial"/>
        </w:rPr>
        <w:t xml:space="preserve"> and Illumina microarray platforms. </w:t>
      </w:r>
      <w:r w:rsidR="007A4BF5">
        <w:rPr>
          <w:rFonts w:ascii="Arial" w:hAnsi="Arial" w:cs="Arial"/>
        </w:rPr>
        <w:t xml:space="preserve">YCGA also offers spatial transcriptomics through 10X Xenium, </w:t>
      </w:r>
      <w:proofErr w:type="spellStart"/>
      <w:r w:rsidR="007A4BF5">
        <w:rPr>
          <w:rFonts w:ascii="Arial" w:hAnsi="Arial" w:cs="Arial"/>
        </w:rPr>
        <w:t>Nanostring</w:t>
      </w:r>
      <w:proofErr w:type="spellEnd"/>
      <w:r w:rsidR="007A4BF5">
        <w:rPr>
          <w:rFonts w:ascii="Arial" w:hAnsi="Arial" w:cs="Arial"/>
        </w:rPr>
        <w:t xml:space="preserve"> </w:t>
      </w:r>
      <w:proofErr w:type="spellStart"/>
      <w:r w:rsidR="007A4BF5">
        <w:rPr>
          <w:rFonts w:ascii="Arial" w:hAnsi="Arial" w:cs="Arial"/>
        </w:rPr>
        <w:t>CosMX</w:t>
      </w:r>
      <w:proofErr w:type="spellEnd"/>
      <w:r w:rsidR="007A4BF5">
        <w:rPr>
          <w:rFonts w:ascii="Arial" w:hAnsi="Arial" w:cs="Arial"/>
        </w:rPr>
        <w:t xml:space="preserve">, and </w:t>
      </w:r>
      <w:proofErr w:type="spellStart"/>
      <w:proofErr w:type="gramStart"/>
      <w:r w:rsidR="007A4BF5">
        <w:rPr>
          <w:rFonts w:ascii="Arial" w:hAnsi="Arial" w:cs="Arial"/>
        </w:rPr>
        <w:t>CuriSeeker</w:t>
      </w:r>
      <w:proofErr w:type="spellEnd"/>
      <w:r w:rsidR="007A4BF5">
        <w:rPr>
          <w:rFonts w:ascii="Arial" w:hAnsi="Arial" w:cs="Arial"/>
        </w:rPr>
        <w:t>( Curio</w:t>
      </w:r>
      <w:proofErr w:type="gramEnd"/>
      <w:r w:rsidR="007A4BF5">
        <w:rPr>
          <w:rFonts w:ascii="Arial" w:hAnsi="Arial" w:cs="Arial"/>
        </w:rPr>
        <w:t xml:space="preserve"> Biosciences). Spatial ATAC-Seq is offered using the </w:t>
      </w:r>
      <w:proofErr w:type="spellStart"/>
      <w:r w:rsidR="007A4BF5">
        <w:rPr>
          <w:rFonts w:ascii="Arial" w:hAnsi="Arial" w:cs="Arial"/>
        </w:rPr>
        <w:t>AtlasXomics</w:t>
      </w:r>
      <w:r w:rsidR="00E17FC7">
        <w:rPr>
          <w:rFonts w:ascii="Arial" w:hAnsi="Arial" w:cs="Arial"/>
        </w:rPr>
        <w:t>.</w:t>
      </w:r>
      <w:r w:rsidRPr="00092AC9">
        <w:rPr>
          <w:rFonts w:ascii="Arial" w:hAnsi="Arial" w:cs="Arial"/>
        </w:rPr>
        <w:t>Since</w:t>
      </w:r>
      <w:proofErr w:type="spellEnd"/>
      <w:r w:rsidRPr="00092AC9">
        <w:rPr>
          <w:rFonts w:ascii="Arial" w:hAnsi="Arial" w:cs="Arial"/>
        </w:rPr>
        <w:t xml:space="preserve"> 2010, YCGA has carried out </w:t>
      </w:r>
      <w:r w:rsidR="009B7EAD" w:rsidRPr="00092AC9">
        <w:rPr>
          <w:rFonts w:ascii="Arial" w:hAnsi="Arial" w:cs="Arial"/>
        </w:rPr>
        <w:t xml:space="preserve">sequence </w:t>
      </w:r>
      <w:r w:rsidR="007A4BF5">
        <w:rPr>
          <w:rFonts w:ascii="Arial" w:hAnsi="Arial" w:cs="Arial"/>
        </w:rPr>
        <w:t>analyses (library prep, sequencing, and analysis) for 397 Yale and 419 non-Yale investigators from 158 national and 80 international institutions, including the Broad, Harvard, UCLA, Columbia, Duke, MIT, Memorial Sloan Catering Cancer Center, UCLA,</w:t>
      </w:r>
      <w:r w:rsidRPr="00092AC9">
        <w:rPr>
          <w:rFonts w:ascii="Arial" w:hAnsi="Arial" w:cs="Arial"/>
        </w:rPr>
        <w:t xml:space="preserve"> and John Hopkins. </w:t>
      </w:r>
      <w:r w:rsidR="009B7EAD" w:rsidRPr="00092AC9">
        <w:rPr>
          <w:rFonts w:ascii="Arial" w:hAnsi="Arial" w:cs="Arial"/>
        </w:rPr>
        <w:t>YCGA has sequenced &gt;</w:t>
      </w:r>
      <w:r w:rsidR="007A4BF5">
        <w:rPr>
          <w:rFonts w:ascii="Arial" w:hAnsi="Arial" w:cs="Arial"/>
        </w:rPr>
        <w:t>130</w:t>
      </w:r>
      <w:r w:rsidR="009B7EAD" w:rsidRPr="00092AC9">
        <w:rPr>
          <w:rFonts w:ascii="Arial" w:hAnsi="Arial" w:cs="Arial"/>
        </w:rPr>
        <w:t xml:space="preserve">,000 exomes and several thousands of samples for other applications. It </w:t>
      </w:r>
      <w:r w:rsidR="007A4BF5">
        <w:rPr>
          <w:rFonts w:ascii="Arial" w:hAnsi="Arial" w:cs="Arial"/>
        </w:rPr>
        <w:t>has been approved for CLIA and CAP certification</w:t>
      </w:r>
      <w:r w:rsidR="009B7EAD" w:rsidRPr="00092AC9">
        <w:rPr>
          <w:rFonts w:ascii="Arial" w:hAnsi="Arial" w:cs="Arial"/>
        </w:rPr>
        <w:t xml:space="preserve"> since 2012. </w:t>
      </w:r>
      <w:r w:rsidR="00CB2C6A" w:rsidRPr="00092AC9">
        <w:rPr>
          <w:rFonts w:ascii="Arial" w:hAnsi="Arial" w:cs="Arial"/>
        </w:rPr>
        <w:t>In addition to providing sequencing analyses, YCGA staff actively participate in developing new technologies, work collaboratively with the Yale investigators</w:t>
      </w:r>
      <w:r w:rsidR="007A4BF5">
        <w:rPr>
          <w:rFonts w:ascii="Arial" w:hAnsi="Arial" w:cs="Arial"/>
        </w:rPr>
        <w:t>, and provide much-needed grant-writing support</w:t>
      </w:r>
      <w:r w:rsidR="00CB2C6A" w:rsidRPr="00092AC9">
        <w:rPr>
          <w:rFonts w:ascii="Arial" w:hAnsi="Arial" w:cs="Arial"/>
        </w:rPr>
        <w:t xml:space="preserve"> to its users.  </w:t>
      </w:r>
    </w:p>
    <w:p w14:paraId="1ACB2F75" w14:textId="77777777" w:rsidR="009B7EAD" w:rsidRPr="00092AC9" w:rsidRDefault="009B7EAD" w:rsidP="007E0331">
      <w:pPr>
        <w:pStyle w:val="NoSpacing"/>
        <w:jc w:val="both"/>
        <w:rPr>
          <w:rFonts w:ascii="Arial" w:eastAsia="Times New Roman" w:hAnsi="Arial" w:cs="Arial"/>
        </w:rPr>
      </w:pPr>
    </w:p>
    <w:p w14:paraId="7FE85366" w14:textId="06C561F6" w:rsidR="00641807" w:rsidRPr="00092AC9" w:rsidRDefault="009B7EAD" w:rsidP="007E0331">
      <w:pPr>
        <w:pStyle w:val="NoSpacing"/>
        <w:jc w:val="both"/>
        <w:rPr>
          <w:rFonts w:ascii="Arial" w:hAnsi="Arial" w:cs="Arial"/>
        </w:rPr>
      </w:pPr>
      <w:r w:rsidRPr="00092AC9">
        <w:rPr>
          <w:rFonts w:ascii="Arial" w:eastAsia="Times New Roman" w:hAnsi="Arial" w:cs="Arial"/>
          <w:u w:val="single"/>
        </w:rPr>
        <w:t>Scientific accomplishment</w:t>
      </w:r>
      <w:r w:rsidRPr="00092AC9">
        <w:rPr>
          <w:rFonts w:ascii="Arial" w:eastAsia="Times New Roman" w:hAnsi="Arial" w:cs="Arial"/>
        </w:rPr>
        <w:t>:</w:t>
      </w:r>
      <w:r w:rsidR="00641807" w:rsidRPr="00092AC9">
        <w:rPr>
          <w:rFonts w:ascii="Arial" w:hAnsi="Arial" w:cs="Arial"/>
          <w:b/>
        </w:rPr>
        <w:t xml:space="preserve"> </w:t>
      </w:r>
      <w:r w:rsidR="002D15F4" w:rsidRPr="00092AC9">
        <w:rPr>
          <w:rFonts w:ascii="Arial" w:hAnsi="Arial" w:cs="Arial"/>
        </w:rPr>
        <w:t xml:space="preserve">More than </w:t>
      </w:r>
      <w:r w:rsidR="004E31E4" w:rsidRPr="00092AC9">
        <w:rPr>
          <w:rFonts w:ascii="Arial" w:hAnsi="Arial" w:cs="Arial"/>
        </w:rPr>
        <w:t>12</w:t>
      </w:r>
      <w:r w:rsidR="003C5A1F" w:rsidRPr="00092AC9">
        <w:rPr>
          <w:rFonts w:ascii="Arial" w:hAnsi="Arial" w:cs="Arial"/>
        </w:rPr>
        <w:t>0</w:t>
      </w:r>
      <w:r w:rsidR="00641807" w:rsidRPr="00092AC9">
        <w:rPr>
          <w:rFonts w:ascii="Arial" w:hAnsi="Arial" w:cs="Arial"/>
        </w:rPr>
        <w:t xml:space="preserve">0 publications (that we know of) have resulted from </w:t>
      </w:r>
      <w:r w:rsidR="007A4BF5">
        <w:rPr>
          <w:rFonts w:ascii="Arial" w:hAnsi="Arial" w:cs="Arial"/>
        </w:rPr>
        <w:t>using</w:t>
      </w:r>
      <w:r w:rsidR="00641807" w:rsidRPr="00092AC9">
        <w:rPr>
          <w:rFonts w:ascii="Arial" w:hAnsi="Arial" w:cs="Arial"/>
        </w:rPr>
        <w:t xml:space="preserve"> the resources provided by YCGA.  </w:t>
      </w:r>
      <w:r w:rsidR="007A4BF5">
        <w:rPr>
          <w:rFonts w:ascii="Arial" w:hAnsi="Arial" w:cs="Arial"/>
        </w:rPr>
        <w:t>More than 70 publications have resulted in high-profile journals, including Science, Nature, Cell, New England Journal of Medicine,</w:t>
      </w:r>
      <w:r w:rsidR="00641807" w:rsidRPr="00092AC9">
        <w:rPr>
          <w:rFonts w:ascii="Arial" w:hAnsi="Arial" w:cs="Arial"/>
        </w:rPr>
        <w:t xml:space="preserve"> and Nature Genetics.  </w:t>
      </w:r>
      <w:r w:rsidR="007A4BF5">
        <w:rPr>
          <w:rFonts w:ascii="Arial" w:hAnsi="Arial" w:cs="Arial"/>
        </w:rPr>
        <w:t>The facility has shown scientific leadership by publishing its first significant publication after the completion of the human genome project that discovered the association of complement factor H with age-related</w:t>
      </w:r>
      <w:r w:rsidR="00641807" w:rsidRPr="00092AC9">
        <w:rPr>
          <w:rFonts w:ascii="Arial" w:hAnsi="Arial" w:cs="Arial"/>
        </w:rPr>
        <w:t xml:space="preserve"> macular degeneration in 2005. (Science, 2005). Similarly, YCGA was the first to perform clinical diagnosis using exome sequencing in 2009.  </w:t>
      </w:r>
    </w:p>
    <w:p w14:paraId="0ED45D3B" w14:textId="77777777" w:rsidR="00641807" w:rsidRPr="00092AC9" w:rsidRDefault="00641807" w:rsidP="007E0331">
      <w:pPr>
        <w:pStyle w:val="NoSpacing"/>
        <w:jc w:val="both"/>
        <w:rPr>
          <w:rFonts w:ascii="Arial" w:hAnsi="Arial" w:cs="Arial"/>
        </w:rPr>
      </w:pPr>
    </w:p>
    <w:p w14:paraId="04094693" w14:textId="0E4C25C0" w:rsidR="00CB2C6A" w:rsidRPr="00092AC9" w:rsidRDefault="00CB2C6A" w:rsidP="007E0331">
      <w:pPr>
        <w:pStyle w:val="ListParagraph"/>
        <w:ind w:left="0"/>
        <w:jc w:val="both"/>
        <w:rPr>
          <w:rFonts w:ascii="Arial" w:hAnsi="Arial" w:cs="Arial"/>
          <w:bCs/>
          <w:sz w:val="22"/>
          <w:szCs w:val="22"/>
        </w:rPr>
      </w:pPr>
      <w:r w:rsidRPr="00092AC9">
        <w:rPr>
          <w:rFonts w:ascii="Arial" w:eastAsia="Times New Roman" w:hAnsi="Arial" w:cs="Arial"/>
          <w:sz w:val="22"/>
          <w:szCs w:val="22"/>
          <w:u w:val="single"/>
        </w:rPr>
        <w:t>Financial management/</w:t>
      </w:r>
      <w:r w:rsidR="00641807" w:rsidRPr="00092AC9">
        <w:rPr>
          <w:rFonts w:ascii="Arial" w:hAnsi="Arial" w:cs="Arial"/>
          <w:sz w:val="22"/>
          <w:szCs w:val="22"/>
          <w:u w:val="single"/>
        </w:rPr>
        <w:t>Grant support</w:t>
      </w:r>
      <w:r w:rsidR="00641807" w:rsidRPr="00092AC9">
        <w:rPr>
          <w:rFonts w:ascii="Arial" w:hAnsi="Arial" w:cs="Arial"/>
          <w:sz w:val="22"/>
          <w:szCs w:val="22"/>
        </w:rPr>
        <w:t xml:space="preserve">:  </w:t>
      </w:r>
      <w:r w:rsidRPr="00092AC9">
        <w:rPr>
          <w:rFonts w:ascii="Arial" w:hAnsi="Arial" w:cs="Arial"/>
          <w:sz w:val="22"/>
          <w:szCs w:val="22"/>
        </w:rPr>
        <w:t xml:space="preserve">YCGA operates on </w:t>
      </w:r>
      <w:r w:rsidR="00987F62" w:rsidRPr="00092AC9">
        <w:rPr>
          <w:rFonts w:ascii="Arial" w:hAnsi="Arial" w:cs="Arial"/>
          <w:sz w:val="22"/>
          <w:szCs w:val="22"/>
        </w:rPr>
        <w:t xml:space="preserve">a </w:t>
      </w:r>
      <w:r w:rsidRPr="00092AC9">
        <w:rPr>
          <w:rFonts w:ascii="Arial" w:hAnsi="Arial" w:cs="Arial"/>
          <w:sz w:val="22"/>
          <w:szCs w:val="22"/>
        </w:rPr>
        <w:t xml:space="preserve">cost-recovery basis.  Since </w:t>
      </w:r>
      <w:r w:rsidR="007A4BF5">
        <w:rPr>
          <w:rFonts w:ascii="Arial" w:hAnsi="Arial" w:cs="Arial"/>
          <w:sz w:val="22"/>
          <w:szCs w:val="22"/>
        </w:rPr>
        <w:t>its inception, YCGA’s budget has been</w:t>
      </w:r>
      <w:r w:rsidRPr="00092AC9">
        <w:rPr>
          <w:rFonts w:ascii="Arial" w:hAnsi="Arial" w:cs="Arial"/>
          <w:sz w:val="22"/>
          <w:szCs w:val="22"/>
        </w:rPr>
        <w:t xml:space="preserve"> balanced.  </w:t>
      </w:r>
      <w:r w:rsidR="007A4BF5">
        <w:rPr>
          <w:rFonts w:ascii="Arial" w:hAnsi="Arial" w:cs="Arial"/>
          <w:sz w:val="22"/>
          <w:szCs w:val="22"/>
        </w:rPr>
        <w:t xml:space="preserve">Yale University and the School of Medicine support YCGA’s mission and have generously provided millions of dollars in funds to acquire new technologies and maintain cutting-edge </w:t>
      </w:r>
      <w:r w:rsidRPr="00092AC9">
        <w:rPr>
          <w:rFonts w:ascii="Arial" w:hAnsi="Arial" w:cs="Arial"/>
          <w:sz w:val="22"/>
          <w:szCs w:val="22"/>
        </w:rPr>
        <w:t xml:space="preserve">genomics. </w:t>
      </w:r>
      <w:r w:rsidR="00641807" w:rsidRPr="00092AC9">
        <w:rPr>
          <w:rFonts w:ascii="Arial" w:hAnsi="Arial" w:cs="Arial"/>
          <w:sz w:val="22"/>
          <w:szCs w:val="22"/>
        </w:rPr>
        <w:t xml:space="preserve">YCGA </w:t>
      </w:r>
      <w:r w:rsidRPr="00092AC9">
        <w:rPr>
          <w:rFonts w:ascii="Arial" w:hAnsi="Arial" w:cs="Arial"/>
          <w:sz w:val="22"/>
          <w:szCs w:val="22"/>
        </w:rPr>
        <w:t>users have</w:t>
      </w:r>
      <w:r w:rsidR="00641807" w:rsidRPr="00092AC9">
        <w:rPr>
          <w:rFonts w:ascii="Arial" w:hAnsi="Arial" w:cs="Arial"/>
          <w:sz w:val="22"/>
          <w:szCs w:val="22"/>
        </w:rPr>
        <w:t xml:space="preserve"> received </w:t>
      </w:r>
      <w:r w:rsidR="007A4BF5">
        <w:rPr>
          <w:rFonts w:ascii="Arial" w:hAnsi="Arial" w:cs="Arial"/>
          <w:sz w:val="22"/>
          <w:szCs w:val="22"/>
        </w:rPr>
        <w:t>over</w:t>
      </w:r>
      <w:r w:rsidR="00641807" w:rsidRPr="00092AC9">
        <w:rPr>
          <w:rFonts w:ascii="Arial" w:hAnsi="Arial" w:cs="Arial"/>
          <w:sz w:val="22"/>
          <w:szCs w:val="22"/>
        </w:rPr>
        <w:t xml:space="preserve"> </w:t>
      </w:r>
      <w:r w:rsidR="007A4BF5">
        <w:rPr>
          <w:rFonts w:ascii="Arial" w:hAnsi="Arial" w:cs="Arial"/>
          <w:sz w:val="22"/>
          <w:szCs w:val="22"/>
        </w:rPr>
        <w:t>250 million dollars</w:t>
      </w:r>
      <w:r w:rsidR="00641807" w:rsidRPr="00092AC9">
        <w:rPr>
          <w:rFonts w:ascii="Arial" w:hAnsi="Arial" w:cs="Arial"/>
          <w:sz w:val="22"/>
          <w:szCs w:val="22"/>
        </w:rPr>
        <w:t xml:space="preserve"> in grant funding from multiple extramural funding agencies.  </w:t>
      </w:r>
      <w:r w:rsidRPr="00092AC9">
        <w:rPr>
          <w:rFonts w:ascii="Arial" w:hAnsi="Arial" w:cs="Arial"/>
          <w:sz w:val="22"/>
          <w:szCs w:val="22"/>
        </w:rPr>
        <w:t>Dr. Mane, the director of YCGA</w:t>
      </w:r>
      <w:r w:rsidR="007A4BF5">
        <w:rPr>
          <w:rFonts w:ascii="Arial" w:hAnsi="Arial" w:cs="Arial"/>
          <w:sz w:val="22"/>
          <w:szCs w:val="22"/>
        </w:rPr>
        <w:t>, has received over $35 million in funding as a principal investigator</w:t>
      </w:r>
      <w:r w:rsidRPr="00092AC9">
        <w:rPr>
          <w:rFonts w:ascii="Arial" w:hAnsi="Arial" w:cs="Arial"/>
          <w:sz w:val="22"/>
          <w:szCs w:val="22"/>
        </w:rPr>
        <w:t xml:space="preserve"> from NIH and other funding agencies. </w:t>
      </w:r>
      <w:r w:rsidR="00641807" w:rsidRPr="00092AC9">
        <w:rPr>
          <w:rFonts w:ascii="Arial" w:hAnsi="Arial" w:cs="Arial"/>
          <w:sz w:val="22"/>
          <w:szCs w:val="22"/>
        </w:rPr>
        <w:t xml:space="preserve">YCGA is </w:t>
      </w:r>
      <w:r w:rsidR="007A4BF5">
        <w:rPr>
          <w:rFonts w:ascii="Arial" w:hAnsi="Arial" w:cs="Arial"/>
          <w:sz w:val="22"/>
          <w:szCs w:val="22"/>
        </w:rPr>
        <w:t xml:space="preserve">the home of </w:t>
      </w:r>
      <w:r w:rsidRPr="00092AC9">
        <w:rPr>
          <w:rFonts w:ascii="Arial" w:hAnsi="Arial" w:cs="Arial"/>
          <w:sz w:val="22"/>
          <w:szCs w:val="22"/>
        </w:rPr>
        <w:t>NHGRI/</w:t>
      </w:r>
      <w:r w:rsidRPr="00092AC9">
        <w:rPr>
          <w:rFonts w:ascii="Arial" w:hAnsi="Arial" w:cs="Arial"/>
          <w:bCs/>
          <w:sz w:val="22"/>
          <w:szCs w:val="22"/>
        </w:rPr>
        <w:t xml:space="preserve">Yale Center for Mendelian </w:t>
      </w:r>
      <w:proofErr w:type="gramStart"/>
      <w:r w:rsidRPr="00092AC9">
        <w:rPr>
          <w:rFonts w:ascii="Arial" w:hAnsi="Arial" w:cs="Arial"/>
          <w:bCs/>
          <w:sz w:val="22"/>
          <w:szCs w:val="22"/>
        </w:rPr>
        <w:t>Genomics(</w:t>
      </w:r>
      <w:proofErr w:type="gramEnd"/>
      <w:r w:rsidRPr="00092AC9">
        <w:rPr>
          <w:rFonts w:ascii="Arial" w:hAnsi="Arial" w:cs="Arial"/>
          <w:bCs/>
          <w:sz w:val="22"/>
          <w:szCs w:val="22"/>
        </w:rPr>
        <w:t>YCMG)</w:t>
      </w:r>
      <w:r w:rsidR="007A4BF5">
        <w:rPr>
          <w:rFonts w:ascii="Arial" w:hAnsi="Arial" w:cs="Arial"/>
          <w:bCs/>
          <w:sz w:val="22"/>
          <w:szCs w:val="22"/>
        </w:rPr>
        <w:t xml:space="preserve">, one of the four national centers </w:t>
      </w:r>
      <w:r w:rsidRPr="00092AC9">
        <w:rPr>
          <w:rFonts w:ascii="Arial" w:hAnsi="Arial" w:cs="Arial"/>
          <w:bCs/>
          <w:sz w:val="22"/>
          <w:szCs w:val="22"/>
        </w:rPr>
        <w:t>established in November 2011 and then renewed in 2016 (</w:t>
      </w:r>
      <w:hyperlink r:id="rId6" w:history="1">
        <w:r w:rsidRPr="00092AC9">
          <w:rPr>
            <w:rStyle w:val="Hyperlink"/>
            <w:rFonts w:ascii="Arial" w:hAnsi="Arial" w:cs="Arial"/>
            <w:color w:val="auto"/>
            <w:sz w:val="22"/>
            <w:szCs w:val="22"/>
            <w:u w:val="none"/>
          </w:rPr>
          <w:t>http://www.mendelian.org/</w:t>
        </w:r>
      </w:hyperlink>
      <w:r w:rsidRPr="00092AC9" w:rsidDel="00A901B4">
        <w:rPr>
          <w:rFonts w:ascii="Arial" w:hAnsi="Arial" w:cs="Arial"/>
          <w:bCs/>
          <w:sz w:val="22"/>
          <w:szCs w:val="22"/>
        </w:rPr>
        <w:t>)</w:t>
      </w:r>
      <w:r w:rsidRPr="00092AC9">
        <w:rPr>
          <w:rFonts w:ascii="Arial" w:hAnsi="Arial" w:cs="Arial"/>
          <w:bCs/>
          <w:sz w:val="22"/>
          <w:szCs w:val="22"/>
        </w:rPr>
        <w:t>.  It is supported by a $22 million grant from NIH/NHGRI.  The YCMG applies NGS and computational approaches to discover the genes and variants that underlie Mendelian conditions</w:t>
      </w:r>
      <w:r w:rsidR="007A4BF5">
        <w:rPr>
          <w:rFonts w:ascii="Arial" w:hAnsi="Arial" w:cs="Arial"/>
          <w:bCs/>
          <w:sz w:val="22"/>
          <w:szCs w:val="22"/>
        </w:rPr>
        <w:t>,</w:t>
      </w:r>
      <w:r w:rsidRPr="00092AC9">
        <w:rPr>
          <w:rFonts w:ascii="Arial" w:hAnsi="Arial" w:cs="Arial"/>
          <w:bCs/>
          <w:sz w:val="22"/>
          <w:szCs w:val="22"/>
        </w:rPr>
        <w:t xml:space="preserve"> including skin diseases, intellectual disability, intracranial aneurysm, migraine, musculoskeletal malformations, Dent’s disease, electrolyte homeostasis, polycystic kidney disease, cardiovascular disorders, </w:t>
      </w:r>
      <w:proofErr w:type="gramStart"/>
      <w:r w:rsidRPr="00092AC9">
        <w:rPr>
          <w:rFonts w:ascii="Arial" w:hAnsi="Arial" w:cs="Arial"/>
          <w:bCs/>
          <w:sz w:val="22"/>
          <w:szCs w:val="22"/>
        </w:rPr>
        <w:t>Kidney</w:t>
      </w:r>
      <w:proofErr w:type="gramEnd"/>
      <w:r w:rsidRPr="00092AC9">
        <w:rPr>
          <w:rFonts w:ascii="Arial" w:hAnsi="Arial" w:cs="Arial"/>
          <w:bCs/>
          <w:sz w:val="22"/>
          <w:szCs w:val="22"/>
        </w:rPr>
        <w:t xml:space="preserve"> and inherited eye diseases and more. Over the past </w:t>
      </w:r>
      <w:r w:rsidR="002D15F4" w:rsidRPr="00092AC9">
        <w:rPr>
          <w:rFonts w:ascii="Arial" w:hAnsi="Arial" w:cs="Arial"/>
          <w:bCs/>
          <w:sz w:val="22"/>
          <w:szCs w:val="22"/>
        </w:rPr>
        <w:t>eight</w:t>
      </w:r>
      <w:r w:rsidRPr="00092AC9">
        <w:rPr>
          <w:rFonts w:ascii="Arial" w:hAnsi="Arial" w:cs="Arial"/>
          <w:bCs/>
          <w:sz w:val="22"/>
          <w:szCs w:val="22"/>
        </w:rPr>
        <w:t xml:space="preserve"> yea</w:t>
      </w:r>
      <w:r w:rsidR="002D15F4" w:rsidRPr="00092AC9">
        <w:rPr>
          <w:rFonts w:ascii="Arial" w:hAnsi="Arial" w:cs="Arial"/>
          <w:bCs/>
          <w:sz w:val="22"/>
          <w:szCs w:val="22"/>
        </w:rPr>
        <w:t>rs</w:t>
      </w:r>
      <w:r w:rsidR="007A4BF5">
        <w:rPr>
          <w:rFonts w:ascii="Arial" w:hAnsi="Arial" w:cs="Arial"/>
          <w:bCs/>
          <w:sz w:val="22"/>
          <w:szCs w:val="22"/>
        </w:rPr>
        <w:t>, the Center has analyzed over 35,000 samples for 110 NIH-funded investigators from 80 institutions from 13 countries, and these efforts have led to several high-profile publications, including Nature, Science,</w:t>
      </w:r>
      <w:r w:rsidRPr="00092AC9">
        <w:rPr>
          <w:rFonts w:ascii="Arial" w:hAnsi="Arial" w:cs="Arial"/>
          <w:bCs/>
          <w:sz w:val="22"/>
          <w:szCs w:val="22"/>
        </w:rPr>
        <w:t xml:space="preserve"> and Cell. In addition to YCMG, YCGA is closely associated with and serves as a gnomic core for the Yale O’Brien Kidney Center, Yale Cancer Center, Yale Center for Clinical Investigation</w:t>
      </w:r>
      <w:r w:rsidR="007A4BF5">
        <w:rPr>
          <w:rFonts w:ascii="Arial" w:hAnsi="Arial" w:cs="Arial"/>
          <w:bCs/>
          <w:sz w:val="22"/>
          <w:szCs w:val="22"/>
        </w:rPr>
        <w:t>,</w:t>
      </w:r>
      <w:r w:rsidRPr="00092AC9">
        <w:rPr>
          <w:rFonts w:ascii="Arial" w:hAnsi="Arial" w:cs="Arial"/>
          <w:bCs/>
          <w:sz w:val="22"/>
          <w:szCs w:val="22"/>
        </w:rPr>
        <w:t xml:space="preserve"> and </w:t>
      </w:r>
      <w:r w:rsidRPr="00092AC9">
        <w:rPr>
          <w:rFonts w:ascii="Arial" w:hAnsi="Arial" w:cs="Arial"/>
          <w:sz w:val="22"/>
          <w:szCs w:val="22"/>
        </w:rPr>
        <w:t>Yale/Gilead Cancer Research Collaboration.</w:t>
      </w:r>
    </w:p>
    <w:p w14:paraId="72E53A55" w14:textId="77777777" w:rsidR="00641807" w:rsidRPr="00092AC9" w:rsidRDefault="00641807" w:rsidP="007E0331">
      <w:pPr>
        <w:pStyle w:val="NoSpacing"/>
        <w:jc w:val="both"/>
        <w:rPr>
          <w:rFonts w:ascii="Arial" w:hAnsi="Arial" w:cs="Arial"/>
        </w:rPr>
      </w:pPr>
      <w:r w:rsidRPr="00092AC9">
        <w:rPr>
          <w:rFonts w:ascii="Arial" w:hAnsi="Arial" w:cs="Arial"/>
        </w:rPr>
        <w:t xml:space="preserve"> </w:t>
      </w:r>
    </w:p>
    <w:p w14:paraId="5EFBD347" w14:textId="77777777" w:rsidR="00641807" w:rsidRPr="00092AC9" w:rsidRDefault="00641807" w:rsidP="007E0331">
      <w:pPr>
        <w:pStyle w:val="NoSpacing"/>
        <w:jc w:val="both"/>
        <w:rPr>
          <w:rFonts w:ascii="Arial" w:eastAsia="Times New Roman" w:hAnsi="Arial" w:cs="Arial"/>
        </w:rPr>
      </w:pPr>
    </w:p>
    <w:sectPr w:rsidR="00641807" w:rsidRPr="00092AC9" w:rsidSect="00BF21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9566C"/>
    <w:multiLevelType w:val="hybridMultilevel"/>
    <w:tmpl w:val="4E78BF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753AE"/>
    <w:multiLevelType w:val="hybridMultilevel"/>
    <w:tmpl w:val="FB6E5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036700"/>
    <w:multiLevelType w:val="hybridMultilevel"/>
    <w:tmpl w:val="5F6E5A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9B07A1"/>
    <w:multiLevelType w:val="hybridMultilevel"/>
    <w:tmpl w:val="05027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5225353">
    <w:abstractNumId w:val="3"/>
  </w:num>
  <w:num w:numId="2" w16cid:durableId="1405639081">
    <w:abstractNumId w:val="1"/>
  </w:num>
  <w:num w:numId="3" w16cid:durableId="2077047385">
    <w:abstractNumId w:val="2"/>
  </w:num>
  <w:num w:numId="4" w16cid:durableId="2025588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F3"/>
    <w:rsid w:val="00011540"/>
    <w:rsid w:val="0009287A"/>
    <w:rsid w:val="00092AC9"/>
    <w:rsid w:val="00111835"/>
    <w:rsid w:val="001E3268"/>
    <w:rsid w:val="001F2C17"/>
    <w:rsid w:val="0026169F"/>
    <w:rsid w:val="0026735C"/>
    <w:rsid w:val="002D15F4"/>
    <w:rsid w:val="002D719E"/>
    <w:rsid w:val="003151D1"/>
    <w:rsid w:val="00346028"/>
    <w:rsid w:val="0035386B"/>
    <w:rsid w:val="003C5A1F"/>
    <w:rsid w:val="003F0A5B"/>
    <w:rsid w:val="0041660C"/>
    <w:rsid w:val="0043427C"/>
    <w:rsid w:val="00481B30"/>
    <w:rsid w:val="004A40E7"/>
    <w:rsid w:val="004B16EB"/>
    <w:rsid w:val="004D6266"/>
    <w:rsid w:val="004E31E4"/>
    <w:rsid w:val="004E4F26"/>
    <w:rsid w:val="004F6FCF"/>
    <w:rsid w:val="004F7386"/>
    <w:rsid w:val="005550B8"/>
    <w:rsid w:val="0063132D"/>
    <w:rsid w:val="00634266"/>
    <w:rsid w:val="00641807"/>
    <w:rsid w:val="00691883"/>
    <w:rsid w:val="006B2414"/>
    <w:rsid w:val="00722D4A"/>
    <w:rsid w:val="0076540A"/>
    <w:rsid w:val="007A4BF5"/>
    <w:rsid w:val="007B688F"/>
    <w:rsid w:val="007C144E"/>
    <w:rsid w:val="007C3CD2"/>
    <w:rsid w:val="007D63EC"/>
    <w:rsid w:val="007E0331"/>
    <w:rsid w:val="00821D96"/>
    <w:rsid w:val="00846D9A"/>
    <w:rsid w:val="008B1664"/>
    <w:rsid w:val="009148E7"/>
    <w:rsid w:val="009260A5"/>
    <w:rsid w:val="00987F62"/>
    <w:rsid w:val="009B7EAD"/>
    <w:rsid w:val="009D6BF3"/>
    <w:rsid w:val="009F58B3"/>
    <w:rsid w:val="00A418D2"/>
    <w:rsid w:val="00A76D14"/>
    <w:rsid w:val="00A774E9"/>
    <w:rsid w:val="00AF3E33"/>
    <w:rsid w:val="00B30AE4"/>
    <w:rsid w:val="00B33AFB"/>
    <w:rsid w:val="00B63C72"/>
    <w:rsid w:val="00B72C37"/>
    <w:rsid w:val="00B8564F"/>
    <w:rsid w:val="00BD75E8"/>
    <w:rsid w:val="00BF21E1"/>
    <w:rsid w:val="00C16C06"/>
    <w:rsid w:val="00C92448"/>
    <w:rsid w:val="00CB2C6A"/>
    <w:rsid w:val="00CC00FB"/>
    <w:rsid w:val="00CD6182"/>
    <w:rsid w:val="00D4361D"/>
    <w:rsid w:val="00D80BA0"/>
    <w:rsid w:val="00D84E82"/>
    <w:rsid w:val="00DA1DCA"/>
    <w:rsid w:val="00DD6815"/>
    <w:rsid w:val="00E0108B"/>
    <w:rsid w:val="00E05B30"/>
    <w:rsid w:val="00E122DF"/>
    <w:rsid w:val="00E17FC7"/>
    <w:rsid w:val="00E209B8"/>
    <w:rsid w:val="00EE120C"/>
    <w:rsid w:val="00F856BF"/>
    <w:rsid w:val="00FC61B5"/>
    <w:rsid w:val="00FF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1AF1C"/>
  <w15:docId w15:val="{F369A8C4-EB0D-40AD-93E2-079FB1D0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F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6BF3"/>
    <w:rPr>
      <w:color w:val="0000FF" w:themeColor="hyperlink"/>
      <w:u w:val="single"/>
    </w:rPr>
  </w:style>
  <w:style w:type="paragraph" w:styleId="NoSpacing">
    <w:name w:val="No Spacing"/>
    <w:uiPriority w:val="1"/>
    <w:qFormat/>
    <w:rsid w:val="009D6BF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B1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6EB"/>
    <w:rPr>
      <w:rFonts w:ascii="Tahoma" w:hAnsi="Tahoma" w:cs="Tahoma"/>
      <w:sz w:val="16"/>
      <w:szCs w:val="16"/>
    </w:rPr>
  </w:style>
  <w:style w:type="character" w:customStyle="1" w:styleId="c3">
    <w:name w:val="c3"/>
    <w:basedOn w:val="DefaultParagraphFont"/>
    <w:rsid w:val="006B2414"/>
  </w:style>
  <w:style w:type="paragraph" w:styleId="Caption">
    <w:name w:val="caption"/>
    <w:basedOn w:val="Normal"/>
    <w:next w:val="Normal"/>
    <w:uiPriority w:val="35"/>
    <w:unhideWhenUsed/>
    <w:qFormat/>
    <w:rsid w:val="00C16C06"/>
    <w:pPr>
      <w:spacing w:line="240" w:lineRule="auto"/>
    </w:pPr>
    <w:rPr>
      <w:rFonts w:ascii="Arial" w:eastAsia="Times New Roman" w:hAnsi="Arial" w:cs="Times New Roman"/>
      <w:b/>
      <w:bCs/>
      <w:color w:val="4F81BD" w:themeColor="accent1"/>
      <w:sz w:val="18"/>
      <w:szCs w:val="18"/>
    </w:rPr>
  </w:style>
  <w:style w:type="character" w:customStyle="1" w:styleId="apple-style-span">
    <w:name w:val="apple-style-span"/>
    <w:basedOn w:val="DefaultParagraphFont"/>
    <w:rsid w:val="00FF3C9D"/>
  </w:style>
  <w:style w:type="character" w:customStyle="1" w:styleId="apple-converted-space">
    <w:name w:val="apple-converted-space"/>
    <w:basedOn w:val="DefaultParagraphFont"/>
    <w:rsid w:val="00FF3C9D"/>
  </w:style>
  <w:style w:type="paragraph" w:styleId="Revision">
    <w:name w:val="Revision"/>
    <w:hidden/>
    <w:uiPriority w:val="99"/>
    <w:semiHidden/>
    <w:rsid w:val="00722D4A"/>
    <w:pPr>
      <w:spacing w:after="0" w:line="240" w:lineRule="auto"/>
    </w:pPr>
  </w:style>
  <w:style w:type="character" w:styleId="CommentReference">
    <w:name w:val="annotation reference"/>
    <w:basedOn w:val="DefaultParagraphFont"/>
    <w:uiPriority w:val="99"/>
    <w:semiHidden/>
    <w:unhideWhenUsed/>
    <w:rsid w:val="00722D4A"/>
    <w:rPr>
      <w:sz w:val="16"/>
      <w:szCs w:val="16"/>
    </w:rPr>
  </w:style>
  <w:style w:type="paragraph" w:styleId="CommentText">
    <w:name w:val="annotation text"/>
    <w:basedOn w:val="Normal"/>
    <w:link w:val="CommentTextChar"/>
    <w:uiPriority w:val="99"/>
    <w:semiHidden/>
    <w:unhideWhenUsed/>
    <w:rsid w:val="00722D4A"/>
    <w:pPr>
      <w:spacing w:line="240" w:lineRule="auto"/>
    </w:pPr>
    <w:rPr>
      <w:sz w:val="20"/>
      <w:szCs w:val="20"/>
    </w:rPr>
  </w:style>
  <w:style w:type="character" w:customStyle="1" w:styleId="CommentTextChar">
    <w:name w:val="Comment Text Char"/>
    <w:basedOn w:val="DefaultParagraphFont"/>
    <w:link w:val="CommentText"/>
    <w:uiPriority w:val="99"/>
    <w:semiHidden/>
    <w:rsid w:val="00722D4A"/>
    <w:rPr>
      <w:sz w:val="20"/>
      <w:szCs w:val="20"/>
    </w:rPr>
  </w:style>
  <w:style w:type="paragraph" w:styleId="CommentSubject">
    <w:name w:val="annotation subject"/>
    <w:basedOn w:val="CommentText"/>
    <w:next w:val="CommentText"/>
    <w:link w:val="CommentSubjectChar"/>
    <w:uiPriority w:val="99"/>
    <w:semiHidden/>
    <w:unhideWhenUsed/>
    <w:rsid w:val="00722D4A"/>
    <w:rPr>
      <w:b/>
      <w:bCs/>
    </w:rPr>
  </w:style>
  <w:style w:type="character" w:customStyle="1" w:styleId="CommentSubjectChar">
    <w:name w:val="Comment Subject Char"/>
    <w:basedOn w:val="CommentTextChar"/>
    <w:link w:val="CommentSubject"/>
    <w:uiPriority w:val="99"/>
    <w:semiHidden/>
    <w:rsid w:val="00722D4A"/>
    <w:rPr>
      <w:b/>
      <w:bCs/>
      <w:sz w:val="20"/>
      <w:szCs w:val="20"/>
    </w:rPr>
  </w:style>
  <w:style w:type="paragraph" w:styleId="NormalWeb">
    <w:name w:val="Normal (Web)"/>
    <w:basedOn w:val="Normal"/>
    <w:uiPriority w:val="99"/>
    <w:unhideWhenUsed/>
    <w:rsid w:val="00691883"/>
    <w:pPr>
      <w:spacing w:before="100" w:beforeAutospacing="1" w:after="100" w:afterAutospacing="1" w:line="240" w:lineRule="auto"/>
    </w:pPr>
    <w:rPr>
      <w:rFonts w:ascii="Times New Roman" w:eastAsiaTheme="minorHAnsi" w:hAnsi="Times New Roman" w:cs="Times New Roman"/>
      <w:sz w:val="24"/>
      <w:szCs w:val="24"/>
    </w:rPr>
  </w:style>
  <w:style w:type="character" w:styleId="FollowedHyperlink">
    <w:name w:val="FollowedHyperlink"/>
    <w:basedOn w:val="DefaultParagraphFont"/>
    <w:uiPriority w:val="99"/>
    <w:semiHidden/>
    <w:unhideWhenUsed/>
    <w:rsid w:val="00A418D2"/>
    <w:rPr>
      <w:color w:val="800080" w:themeColor="followedHyperlink"/>
      <w:u w:val="single"/>
    </w:rPr>
  </w:style>
  <w:style w:type="character" w:styleId="UnresolvedMention">
    <w:name w:val="Unresolved Mention"/>
    <w:basedOn w:val="DefaultParagraphFont"/>
    <w:uiPriority w:val="99"/>
    <w:semiHidden/>
    <w:unhideWhenUsed/>
    <w:rsid w:val="00A418D2"/>
    <w:rPr>
      <w:color w:val="808080"/>
      <w:shd w:val="clear" w:color="auto" w:fill="E6E6E6"/>
    </w:rPr>
  </w:style>
  <w:style w:type="paragraph" w:styleId="ListParagraph">
    <w:name w:val="List Paragraph"/>
    <w:basedOn w:val="Normal"/>
    <w:uiPriority w:val="34"/>
    <w:qFormat/>
    <w:rsid w:val="00D80BA0"/>
    <w:pPr>
      <w:spacing w:after="0" w:line="240" w:lineRule="auto"/>
      <w:ind w:left="720"/>
      <w:contextualSpacing/>
    </w:pPr>
    <w:rPr>
      <w:rFonts w:eastAsiaTheme="minorHAnsi"/>
      <w:sz w:val="24"/>
      <w:szCs w:val="24"/>
    </w:rPr>
  </w:style>
  <w:style w:type="character" w:styleId="Strong">
    <w:name w:val="Strong"/>
    <w:basedOn w:val="DefaultParagraphFont"/>
    <w:uiPriority w:val="22"/>
    <w:qFormat/>
    <w:rsid w:val="009F58B3"/>
    <w:rPr>
      <w:b/>
      <w:bCs/>
    </w:rPr>
  </w:style>
  <w:style w:type="character" w:customStyle="1" w:styleId="Heading1Char">
    <w:name w:val="Heading 1 Char"/>
    <w:basedOn w:val="DefaultParagraphFont"/>
    <w:link w:val="Heading1"/>
    <w:uiPriority w:val="9"/>
    <w:rsid w:val="004F6FC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7654">
      <w:bodyDiv w:val="1"/>
      <w:marLeft w:val="0"/>
      <w:marRight w:val="0"/>
      <w:marTop w:val="0"/>
      <w:marBottom w:val="0"/>
      <w:divBdr>
        <w:top w:val="none" w:sz="0" w:space="0" w:color="auto"/>
        <w:left w:val="none" w:sz="0" w:space="0" w:color="auto"/>
        <w:bottom w:val="none" w:sz="0" w:space="0" w:color="auto"/>
        <w:right w:val="none" w:sz="0" w:space="0" w:color="auto"/>
      </w:divBdr>
    </w:div>
    <w:div w:id="491531005">
      <w:bodyDiv w:val="1"/>
      <w:marLeft w:val="0"/>
      <w:marRight w:val="0"/>
      <w:marTop w:val="0"/>
      <w:marBottom w:val="0"/>
      <w:divBdr>
        <w:top w:val="none" w:sz="0" w:space="0" w:color="auto"/>
        <w:left w:val="none" w:sz="0" w:space="0" w:color="auto"/>
        <w:bottom w:val="none" w:sz="0" w:space="0" w:color="auto"/>
        <w:right w:val="none" w:sz="0" w:space="0" w:color="auto"/>
      </w:divBdr>
    </w:div>
    <w:div w:id="615403587">
      <w:bodyDiv w:val="1"/>
      <w:marLeft w:val="0"/>
      <w:marRight w:val="0"/>
      <w:marTop w:val="0"/>
      <w:marBottom w:val="0"/>
      <w:divBdr>
        <w:top w:val="none" w:sz="0" w:space="0" w:color="auto"/>
        <w:left w:val="none" w:sz="0" w:space="0" w:color="auto"/>
        <w:bottom w:val="none" w:sz="0" w:space="0" w:color="auto"/>
        <w:right w:val="none" w:sz="0" w:space="0" w:color="auto"/>
      </w:divBdr>
    </w:div>
    <w:div w:id="701828620">
      <w:bodyDiv w:val="1"/>
      <w:marLeft w:val="0"/>
      <w:marRight w:val="0"/>
      <w:marTop w:val="0"/>
      <w:marBottom w:val="0"/>
      <w:divBdr>
        <w:top w:val="none" w:sz="0" w:space="0" w:color="auto"/>
        <w:left w:val="none" w:sz="0" w:space="0" w:color="auto"/>
        <w:bottom w:val="none" w:sz="0" w:space="0" w:color="auto"/>
        <w:right w:val="none" w:sz="0" w:space="0" w:color="auto"/>
      </w:divBdr>
    </w:div>
    <w:div w:id="914784127">
      <w:bodyDiv w:val="1"/>
      <w:marLeft w:val="0"/>
      <w:marRight w:val="0"/>
      <w:marTop w:val="0"/>
      <w:marBottom w:val="0"/>
      <w:divBdr>
        <w:top w:val="none" w:sz="0" w:space="0" w:color="auto"/>
        <w:left w:val="none" w:sz="0" w:space="0" w:color="auto"/>
        <w:bottom w:val="none" w:sz="0" w:space="0" w:color="auto"/>
        <w:right w:val="none" w:sz="0" w:space="0" w:color="auto"/>
      </w:divBdr>
    </w:div>
    <w:div w:id="994265059">
      <w:bodyDiv w:val="1"/>
      <w:marLeft w:val="0"/>
      <w:marRight w:val="0"/>
      <w:marTop w:val="0"/>
      <w:marBottom w:val="0"/>
      <w:divBdr>
        <w:top w:val="none" w:sz="0" w:space="0" w:color="auto"/>
        <w:left w:val="none" w:sz="0" w:space="0" w:color="auto"/>
        <w:bottom w:val="none" w:sz="0" w:space="0" w:color="auto"/>
        <w:right w:val="none" w:sz="0" w:space="0" w:color="auto"/>
      </w:divBdr>
    </w:div>
    <w:div w:id="1118724376">
      <w:bodyDiv w:val="1"/>
      <w:marLeft w:val="0"/>
      <w:marRight w:val="0"/>
      <w:marTop w:val="0"/>
      <w:marBottom w:val="0"/>
      <w:divBdr>
        <w:top w:val="none" w:sz="0" w:space="0" w:color="auto"/>
        <w:left w:val="none" w:sz="0" w:space="0" w:color="auto"/>
        <w:bottom w:val="none" w:sz="0" w:space="0" w:color="auto"/>
        <w:right w:val="none" w:sz="0" w:space="0" w:color="auto"/>
      </w:divBdr>
    </w:div>
    <w:div w:id="1512640860">
      <w:bodyDiv w:val="1"/>
      <w:marLeft w:val="0"/>
      <w:marRight w:val="0"/>
      <w:marTop w:val="0"/>
      <w:marBottom w:val="0"/>
      <w:divBdr>
        <w:top w:val="none" w:sz="0" w:space="0" w:color="auto"/>
        <w:left w:val="none" w:sz="0" w:space="0" w:color="auto"/>
        <w:bottom w:val="none" w:sz="0" w:space="0" w:color="auto"/>
        <w:right w:val="none" w:sz="0" w:space="0" w:color="auto"/>
      </w:divBdr>
    </w:div>
    <w:div w:id="1581712368">
      <w:bodyDiv w:val="1"/>
      <w:marLeft w:val="0"/>
      <w:marRight w:val="0"/>
      <w:marTop w:val="0"/>
      <w:marBottom w:val="0"/>
      <w:divBdr>
        <w:top w:val="none" w:sz="0" w:space="0" w:color="auto"/>
        <w:left w:val="none" w:sz="0" w:space="0" w:color="auto"/>
        <w:bottom w:val="none" w:sz="0" w:space="0" w:color="auto"/>
        <w:right w:val="none" w:sz="0" w:space="0" w:color="auto"/>
      </w:divBdr>
    </w:div>
    <w:div w:id="1587884429">
      <w:bodyDiv w:val="1"/>
      <w:marLeft w:val="0"/>
      <w:marRight w:val="0"/>
      <w:marTop w:val="0"/>
      <w:marBottom w:val="0"/>
      <w:divBdr>
        <w:top w:val="none" w:sz="0" w:space="0" w:color="auto"/>
        <w:left w:val="none" w:sz="0" w:space="0" w:color="auto"/>
        <w:bottom w:val="none" w:sz="0" w:space="0" w:color="auto"/>
        <w:right w:val="none" w:sz="0" w:space="0" w:color="auto"/>
      </w:divBdr>
    </w:div>
    <w:div w:id="204960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ndelia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231CB-2EC0-42C7-B3D1-E3B1ED499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Kaya Bilguvar</dc:creator>
  <cp:lastModifiedBy>De Kumar, Bony</cp:lastModifiedBy>
  <cp:revision>4</cp:revision>
  <dcterms:created xsi:type="dcterms:W3CDTF">2024-01-16T17:02:00Z</dcterms:created>
  <dcterms:modified xsi:type="dcterms:W3CDTF">2024-01-16T20:28:00Z</dcterms:modified>
</cp:coreProperties>
</file>